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mallCaps w:val="1"/>
          <w:sz w:val="24"/>
          <w:szCs w:val="24"/>
        </w:rPr>
        <w:sectPr>
          <w:headerReference r:id="rId7" w:type="default"/>
          <w:headerReference r:id="rId8" w:type="first"/>
          <w:footerReference r:id="rId9" w:type="default"/>
          <w:footerReference r:id="rId10" w:type="first"/>
          <w:pgSz w:h="16838" w:w="11906" w:orient="portrait"/>
          <w:pgMar w:bottom="1440" w:top="1440" w:left="1440" w:right="1440" w:header="720" w:footer="720"/>
          <w:pgNumType w:start="1"/>
        </w:sectPr>
      </w:pPr>
      <w:bookmarkStart w:colFirst="0" w:colLast="0" w:name="_heading=h.1fob9te" w:id="0"/>
      <w:bookmarkEnd w:id="0"/>
      <w:r w:rsidDel="00000000" w:rsidR="00000000" w:rsidRPr="00000000">
        <w:rPr>
          <w:rFonts w:ascii="Arial" w:cs="Arial" w:eastAsia="Arial" w:hAnsi="Arial"/>
          <w:b w:val="1"/>
          <w:sz w:val="24"/>
          <w:szCs w:val="24"/>
          <w:u w:val="single"/>
        </w:rPr>
        <mc:AlternateContent>
          <mc:Choice Requires="wpg">
            <w:drawing>
              <wp:anchor allowOverlap="1" behindDoc="0" distB="0" distT="0" distL="114300" distR="114300" hidden="0" layoutInCell="1" locked="0" relativeHeight="0" simplePos="0">
                <wp:simplePos x="0" y="0"/>
                <wp:positionH relativeFrom="page">
                  <wp:posOffset>885825</wp:posOffset>
                </wp:positionH>
                <wp:positionV relativeFrom="margin">
                  <wp:posOffset>333375</wp:posOffset>
                </wp:positionV>
                <wp:extent cx="6286500" cy="8320405"/>
                <wp:effectExtent b="0" l="0" r="0" t="0"/>
                <wp:wrapNone/>
                <wp:docPr id="17" name=""/>
                <a:graphic>
                  <a:graphicData uri="http://schemas.microsoft.com/office/word/2010/wordprocessingGroup">
                    <wpg:wgp>
                      <wpg:cNvGrpSpPr/>
                      <wpg:grpSpPr>
                        <a:xfrm>
                          <a:off x="2202750" y="0"/>
                          <a:ext cx="6286500" cy="8320405"/>
                          <a:chOff x="2202750" y="0"/>
                          <a:chExt cx="6286500" cy="7560000"/>
                        </a:xfrm>
                      </wpg:grpSpPr>
                      <wpg:grpSp>
                        <wpg:cNvGrpSpPr/>
                        <wpg:grpSpPr>
                          <a:xfrm>
                            <a:off x="2202750" y="0"/>
                            <a:ext cx="6286500" cy="7560000"/>
                            <a:chOff x="2202750" y="0"/>
                            <a:chExt cx="6286500" cy="7560000"/>
                          </a:xfrm>
                        </wpg:grpSpPr>
                        <wps:wsp>
                          <wps:cNvSpPr/>
                          <wps:cNvPr id="3" name="Shape 3"/>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5" name="Shape 5"/>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7" name="Shape 7"/>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9" name="Shape 9"/>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25" cy="7560000"/>
                                  </a:xfrm>
                                </wpg:grpSpPr>
                                <wps:wsp>
                                  <wps:cNvSpPr/>
                                  <wps:cNvPr id="11" name="Shape 11"/>
                                  <wps:spPr>
                                    <a:xfrm>
                                      <a:off x="2202750" y="0"/>
                                      <a:ext cx="6286525"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13" name="Shape 13"/>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133357" y="-2276513"/>
                                        <a:chExt cx="6286835" cy="8320544"/>
                                      </a:xfrm>
                                    </wpg:grpSpPr>
                                    <wps:wsp>
                                      <wps:cNvSpPr/>
                                      <wps:cNvPr id="15" name="Shape 15"/>
                                      <wps:spPr>
                                        <a:xfrm>
                                          <a:off x="-133357" y="-2276513"/>
                                          <a:ext cx="6286825" cy="8320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6" name="Shape 16"/>
                                      <wps:spPr>
                                        <a:xfrm>
                                          <a:off x="2980383" y="5629376"/>
                                          <a:ext cx="3173095" cy="41465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right"/>
                                              <w:textDirection w:val="btLr"/>
                                            </w:pPr>
                                          </w:p>
                                        </w:txbxContent>
                                      </wps:txbx>
                                      <wps:bodyPr anchorCtr="0" anchor="t" bIns="45700" lIns="91425" spcFirstLastPara="1" rIns="91425" wrap="square" tIns="45700">
                                        <a:noAutofit/>
                                      </wps:bodyPr>
                                    </wps:wsp>
                                    <wps:wsp>
                                      <wps:cNvSpPr/>
                                      <wps:cNvPr id="17" name="Shape 17"/>
                                      <wps:spPr>
                                        <a:xfrm>
                                          <a:off x="-133357" y="-2276513"/>
                                          <a:ext cx="5485128" cy="4615177"/>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Framework </w:t>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Award Form</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p>
                                        </w:txbxContent>
                                      </wps:txbx>
                                      <wps:bodyPr anchorCtr="0" anchor="b" bIns="45700" lIns="91425" spcFirstLastPara="1" rIns="91425" wrap="square" tIns="45700">
                                        <a:noAutofit/>
                                      </wps:bodyPr>
                                    </wps:wsp>
                                  </wpg:grpSp>
                                </wpg:grpSp>
                              </wpg:grp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885825</wp:posOffset>
                </wp:positionH>
                <wp:positionV relativeFrom="margin">
                  <wp:posOffset>333375</wp:posOffset>
                </wp:positionV>
                <wp:extent cx="6286500" cy="8320405"/>
                <wp:effectExtent b="0" l="0" r="0" t="0"/>
                <wp:wrapNone/>
                <wp:docPr id="17" name="image2.png"/>
                <a:graphic>
                  <a:graphicData uri="http://schemas.openxmlformats.org/drawingml/2006/picture">
                    <pic:pic>
                      <pic:nvPicPr>
                        <pic:cNvPr id="0" name="image2.png"/>
                        <pic:cNvPicPr preferRelativeResize="0"/>
                      </pic:nvPicPr>
                      <pic:blipFill>
                        <a:blip r:embed="rId11"/>
                        <a:srcRect/>
                        <a:stretch>
                          <a:fillRect/>
                        </a:stretch>
                      </pic:blipFill>
                      <pic:spPr>
                        <a:xfrm>
                          <a:off x="0" y="0"/>
                          <a:ext cx="6286500" cy="8320405"/>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96527</wp:posOffset>
            </wp:positionH>
            <wp:positionV relativeFrom="paragraph">
              <wp:posOffset>1698625</wp:posOffset>
            </wp:positionV>
            <wp:extent cx="1647190" cy="1371600"/>
            <wp:effectExtent b="0" l="0" r="0" t="0"/>
            <wp:wrapNone/>
            <wp:docPr descr="Crown Commercial Service" id="18" name="image1.png"/>
            <a:graphic>
              <a:graphicData uri="http://schemas.openxmlformats.org/drawingml/2006/picture">
                <pic:pic>
                  <pic:nvPicPr>
                    <pic:cNvPr descr="Crown Commercial Service" id="0" name="image1.png"/>
                    <pic:cNvPicPr preferRelativeResize="0"/>
                  </pic:nvPicPr>
                  <pic:blipFill>
                    <a:blip r:embed="rId12"/>
                    <a:srcRect b="0" l="0" r="0" t="0"/>
                    <a:stretch>
                      <a:fillRect/>
                    </a:stretch>
                  </pic:blipFill>
                  <pic:spPr>
                    <a:xfrm>
                      <a:off x="0" y="0"/>
                      <a:ext cx="1647190" cy="1371600"/>
                    </a:xfrm>
                    <a:prstGeom prst="rect"/>
                    <a:ln/>
                  </pic:spPr>
                </pic:pic>
              </a:graphicData>
            </a:graphic>
          </wp:anchor>
        </w:drawing>
      </w:r>
    </w:p>
    <w:p w:rsidR="00000000" w:rsidDel="00000000" w:rsidP="00000000" w:rsidRDefault="00000000" w:rsidRPr="00000000" w14:paraId="00000002">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Award Form creates the Framework Contract RM6273 Employee Benefits and Services. It summarises the main features of the procurement and includes CCS and the Supplier’s contact details.</w:t>
      </w:r>
    </w:p>
    <w:tbl>
      <w:tblPr>
        <w:tblStyle w:val="Table1"/>
        <w:tblW w:w="10531.0" w:type="dxa"/>
        <w:jc w:val="left"/>
        <w:tblInd w:w="-73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436"/>
        <w:gridCol w:w="2040"/>
        <w:gridCol w:w="8055"/>
        <w:tblGridChange w:id="0">
          <w:tblGrid>
            <w:gridCol w:w="436"/>
            <w:gridCol w:w="2040"/>
            <w:gridCol w:w="8055"/>
          </w:tblGrid>
        </w:tblGridChange>
      </w:tblGrid>
      <w:tr>
        <w:trPr>
          <w:cantSplit w:val="0"/>
          <w:trHeight w:val="1072" w:hRule="atLeast"/>
          <w:tblHeader w:val="0"/>
        </w:trPr>
        <w:tc>
          <w:tcPr/>
          <w:p w:rsidR="00000000" w:rsidDel="00000000" w:rsidP="00000000" w:rsidRDefault="00000000" w:rsidRPr="00000000" w14:paraId="00000004">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tc>
        <w:tc>
          <w:tcPr/>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represented by its executive agency the Crown Commercial Service (CCS). </w:t>
            </w:r>
          </w:p>
          <w:p w:rsidR="00000000" w:rsidDel="00000000" w:rsidP="00000000" w:rsidRDefault="00000000" w:rsidRPr="00000000" w14:paraId="00000007">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offices are on: 9th Floor, The Capital, Old Hall Street, Liverpool L3 9PP.</w:t>
            </w:r>
          </w:p>
          <w:p w:rsidR="00000000" w:rsidDel="00000000" w:rsidP="00000000" w:rsidRDefault="00000000" w:rsidRPr="00000000" w14:paraId="00000009">
            <w:pPr>
              <w:spacing w:after="0" w:lineRule="auto"/>
              <w:rPr>
                <w:rFonts w:ascii="Arial" w:cs="Arial" w:eastAsia="Arial" w:hAnsi="Arial"/>
                <w:b w:val="1"/>
                <w:color w:val="000000"/>
                <w:sz w:val="24"/>
                <w:szCs w:val="24"/>
                <w:highlight w:val="yellow"/>
              </w:rPr>
            </w:pPr>
            <w:r w:rsidDel="00000000" w:rsidR="00000000" w:rsidRPr="00000000">
              <w:rPr>
                <w:rtl w:val="0"/>
              </w:rPr>
            </w:r>
          </w:p>
        </w:tc>
      </w:tr>
      <w:tr>
        <w:trPr>
          <w:cantSplit w:val="0"/>
          <w:trHeight w:val="976" w:hRule="atLeast"/>
          <w:tblHeader w:val="0"/>
        </w:trPr>
        <w:tc>
          <w:tcPr/>
          <w:p w:rsidR="00000000" w:rsidDel="00000000" w:rsidP="00000000" w:rsidRDefault="00000000" w:rsidRPr="00000000" w14:paraId="0000000A">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pacing w:after="0" w:lineRule="auto"/>
              <w:rPr>
                <w:rFonts w:ascii="Arial" w:cs="Arial" w:eastAsia="Arial" w:hAnsi="Arial"/>
                <w:b w:val="1"/>
                <w:color w:val="000000"/>
                <w:sz w:val="24"/>
                <w:szCs w:val="24"/>
                <w:highlight w:val="white"/>
              </w:rPr>
            </w:pPr>
            <w:r w:rsidDel="00000000" w:rsidR="00000000" w:rsidRPr="00000000">
              <w:rPr>
                <w:rtl w:val="0"/>
              </w:rPr>
            </w:r>
          </w:p>
          <w:tbl>
            <w:tblPr>
              <w:tblStyle w:val="Table2"/>
              <w:tblW w:w="728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96"/>
              <w:gridCol w:w="4991"/>
              <w:tblGridChange w:id="0">
                <w:tblGrid>
                  <w:gridCol w:w="2296"/>
                  <w:gridCol w:w="4991"/>
                </w:tblGrid>
              </w:tblGridChange>
            </w:tblGrid>
            <w:tr>
              <w:trPr>
                <w:cantSplit w:val="0"/>
                <w:tblHeader w:val="0"/>
              </w:trPr>
              <w:tc>
                <w:tcPr>
                  <w:shd w:fill="auto" w:val="clear"/>
                </w:tcPr>
                <w:p w:rsidR="00000000" w:rsidDel="00000000" w:rsidP="00000000" w:rsidRDefault="00000000" w:rsidRPr="00000000" w14:paraId="0000000D">
                  <w:pPr>
                    <w:spacing w:after="0" w:lineRule="auto"/>
                    <w:ind w:left="-75" w:firstLine="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Name: </w:t>
                  </w:r>
                </w:p>
              </w:tc>
              <w:tc>
                <w:tcPr/>
                <w:p w:rsidR="00000000" w:rsidDel="00000000" w:rsidP="00000000" w:rsidRDefault="00000000" w:rsidRPr="00000000" w14:paraId="0000000E">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b w:val="1"/>
                      <w:color w:val="000000"/>
                      <w:rtl w:val="0"/>
                    </w:rPr>
                    <w:t xml:space="preserve">[Supplier Name]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F">
                  <w:pPr>
                    <w:spacing w:after="0" w:lineRule="auto"/>
                    <w:ind w:left="-75" w:firstLine="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Address: </w:t>
                  </w:r>
                </w:p>
              </w:tc>
              <w:tc>
                <w:tcPr/>
                <w:p w:rsidR="00000000" w:rsidDel="00000000" w:rsidP="00000000" w:rsidRDefault="00000000" w:rsidRPr="00000000" w14:paraId="0000001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b w:val="1"/>
                      <w:color w:val="000000"/>
                      <w:rtl w:val="0"/>
                    </w:rPr>
                    <w:t xml:space="preserve">[Supplier Address]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1">
                  <w:pPr>
                    <w:spacing w:after="0" w:lineRule="auto"/>
                    <w:ind w:left="-75" w:firstLine="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Registration number:    </w:t>
                  </w:r>
                </w:p>
              </w:tc>
              <w:tc>
                <w:tcPr/>
                <w:p w:rsidR="00000000" w:rsidDel="00000000" w:rsidP="00000000" w:rsidRDefault="00000000" w:rsidRPr="00000000" w14:paraId="00000012">
                  <w:pPr>
                    <w:rPr>
                      <w:color w:val="000000"/>
                    </w:rPr>
                  </w:pPr>
                  <w:r w:rsidDel="00000000" w:rsidR="00000000" w:rsidRPr="00000000">
                    <w:rPr>
                      <w:rFonts w:ascii="Arial" w:cs="Arial" w:eastAsia="Arial" w:hAnsi="Arial"/>
                      <w:b w:val="1"/>
                      <w:color w:val="000000"/>
                      <w:rtl w:val="0"/>
                    </w:rPr>
                    <w:t xml:space="preserve">[Supplier Registration]</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3">
                  <w:pPr>
                    <w:spacing w:after="0" w:lineRule="auto"/>
                    <w:ind w:left="-75" w:firstLine="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SID4GOV ID:</w:t>
                  </w:r>
                </w:p>
              </w:tc>
              <w:tc>
                <w:tcPr/>
                <w:p w:rsidR="00000000" w:rsidDel="00000000" w:rsidP="00000000" w:rsidRDefault="00000000" w:rsidRPr="00000000" w14:paraId="00000014">
                  <w:pPr>
                    <w:rPr>
                      <w:color w:val="000000"/>
                    </w:rPr>
                  </w:pPr>
                  <w:r w:rsidDel="00000000" w:rsidR="00000000" w:rsidRPr="00000000">
                    <w:rPr>
                      <w:rFonts w:ascii="Arial" w:cs="Arial" w:eastAsia="Arial" w:hAnsi="Arial"/>
                      <w:b w:val="1"/>
                      <w:color w:val="000000"/>
                      <w:rtl w:val="0"/>
                    </w:rPr>
                    <w:t xml:space="preserve">[Supplier SID4GOV ID]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5">
                  <w:pPr>
                    <w:spacing w:after="0" w:lineRule="auto"/>
                    <w:ind w:left="-75" w:firstLine="0"/>
                    <w:rPr>
                      <w:rFonts w:ascii="Arial" w:cs="Arial" w:eastAsia="Arial" w:hAnsi="Arial"/>
                      <w:color w:val="000000"/>
                      <w:sz w:val="24"/>
                      <w:szCs w:val="24"/>
                      <w:highlight w:val="white"/>
                    </w:rPr>
                  </w:pPr>
                  <w:r w:rsidDel="00000000" w:rsidR="00000000" w:rsidRPr="00000000">
                    <w:rPr>
                      <w:rtl w:val="0"/>
                    </w:rPr>
                  </w:r>
                </w:p>
              </w:tc>
              <w:tc>
                <w:tcPr/>
                <w:p w:rsidR="00000000" w:rsidDel="00000000" w:rsidP="00000000" w:rsidRDefault="00000000" w:rsidRPr="00000000" w14:paraId="00000016">
                  <w:pPr>
                    <w:spacing w:after="0" w:lineRule="auto"/>
                    <w:rPr>
                      <w:rFonts w:ascii="Arial" w:cs="Arial" w:eastAsia="Arial" w:hAnsi="Arial"/>
                      <w:color w:val="000000"/>
                      <w:sz w:val="24"/>
                      <w:szCs w:val="24"/>
                      <w:highlight w:val="white"/>
                    </w:rPr>
                  </w:pPr>
                  <w:r w:rsidDel="00000000" w:rsidR="00000000" w:rsidRPr="00000000">
                    <w:rPr>
                      <w:rtl w:val="0"/>
                    </w:rPr>
                  </w:r>
                </w:p>
              </w:tc>
            </w:tr>
          </w:tbl>
          <w:p w:rsidR="00000000" w:rsidDel="00000000" w:rsidP="00000000" w:rsidRDefault="00000000" w:rsidRPr="00000000" w14:paraId="00000017">
            <w:pPr>
              <w:spacing w:after="0" w:lineRule="auto"/>
              <w:rPr>
                <w:rFonts w:ascii="Arial" w:cs="Arial" w:eastAsia="Arial" w:hAnsi="Arial"/>
                <w:color w:val="000000"/>
                <w:sz w:val="24"/>
                <w:szCs w:val="24"/>
                <w:highlight w:val="white"/>
              </w:rPr>
            </w:pPr>
            <w:r w:rsidDel="00000000" w:rsidR="00000000" w:rsidRPr="00000000">
              <w:rPr>
                <w:rtl w:val="0"/>
              </w:rPr>
            </w:r>
          </w:p>
        </w:tc>
      </w:tr>
      <w:tr>
        <w:trPr>
          <w:cantSplit w:val="0"/>
          <w:trHeight w:val="1446" w:hRule="atLeast"/>
          <w:tblHeader w:val="0"/>
        </w:trPr>
        <w:tc>
          <w:tcPr/>
          <w:p w:rsidR="00000000" w:rsidDel="00000000" w:rsidP="00000000" w:rsidRDefault="00000000" w:rsidRPr="00000000" w14:paraId="00000018">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240" w:lineRule="auto"/>
              <w:ind w:left="34"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This framework contract between CCS and the Supplier allows the Supplier to be considered for Call-off Contracts to supply the Deliverables </w:t>
            </w:r>
            <w:r w:rsidDel="00000000" w:rsidR="00000000" w:rsidRPr="00000000">
              <w:rPr>
                <w:rFonts w:ascii="Arial" w:cs="Arial" w:eastAsia="Arial" w:hAnsi="Arial"/>
                <w:b w:val="1"/>
                <w:color w:val="000000"/>
                <w:rtl w:val="0"/>
              </w:rPr>
              <w:t xml:space="preserve">[Lot]</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color w:val="000000"/>
                <w:sz w:val="24"/>
                <w:szCs w:val="24"/>
                <w:highlight w:val="white"/>
                <w:rtl w:val="0"/>
              </w:rPr>
              <w:t xml:space="preserve">You cannot deliver in any other Lot under this contract. Any references made to other Lots in this contract do not apply.</w:t>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This opportunity is advertised in the Contract Notice in the Find a Tender Service reference 2023/S 000-005109 (FTS Contract Notice).</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white"/>
              </w:rPr>
            </w:pPr>
            <w:r w:rsidDel="00000000" w:rsidR="00000000" w:rsidRPr="00000000">
              <w:rPr>
                <w:rtl w:val="0"/>
              </w:rPr>
            </w:r>
          </w:p>
        </w:tc>
      </w:tr>
      <w:tr>
        <w:trPr>
          <w:cantSplit w:val="0"/>
          <w:trHeight w:val="327" w:hRule="atLeast"/>
          <w:tblHeader w:val="0"/>
        </w:trPr>
        <w:tc>
          <w:tcPr/>
          <w:p w:rsidR="00000000" w:rsidDel="00000000" w:rsidP="00000000" w:rsidRDefault="00000000" w:rsidRPr="00000000" w14:paraId="0000001D">
            <w:pPr>
              <w:keepNext w:val="1"/>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 </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provision of Employee Benefits and Services. This Includes:</w:t>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1 - Employee Benefit and Services Fully Managed Service.</w:t>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2 - Reward and Recognition Scheme</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3 - Financial Wellbeing Scheme</w:t>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4 - Cycle to Work Scheme</w:t>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5 - Childcare / Payroll Giving Scheme</w:t>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6 - Technology and Smartphone Scheme</w:t>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1 (Specification) for further details.</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463" w:hRule="atLeast"/>
          <w:tblHeader w:val="0"/>
        </w:trPr>
        <w:tc>
          <w:tcPr/>
          <w:p w:rsidR="00000000" w:rsidDel="00000000" w:rsidP="00000000" w:rsidRDefault="00000000" w:rsidRPr="00000000" w14:paraId="0000002A">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w:t>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E">
            <w:pPr>
              <w:spacing w:after="0" w:lineRule="auto"/>
              <w:ind w:right="936"/>
              <w:rPr>
                <w:rFonts w:ascii="Arial" w:cs="Arial" w:eastAsia="Arial" w:hAnsi="Arial"/>
                <w:color w:val="000000"/>
                <w:highlight w:val="white"/>
              </w:rPr>
            </w:pPr>
            <w:r w:rsidDel="00000000" w:rsidR="00000000" w:rsidRPr="00000000">
              <w:rPr>
                <w:rtl w:val="0"/>
              </w:rPr>
            </w:r>
          </w:p>
          <w:p w:rsidR="00000000" w:rsidDel="00000000" w:rsidP="00000000" w:rsidRDefault="00000000" w:rsidRPr="00000000" w14:paraId="0000002F">
            <w:pPr>
              <w:spacing w:after="0" w:lineRule="auto"/>
              <w:ind w:right="936"/>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white"/>
                <w:rtl w:val="0"/>
              </w:rPr>
              <w:t xml:space="preserve">26</w:t>
            </w:r>
            <w:r w:rsidDel="00000000" w:rsidR="00000000" w:rsidRPr="00000000">
              <w:rPr>
                <w:rFonts w:ascii="Arial" w:cs="Arial" w:eastAsia="Arial" w:hAnsi="Arial"/>
                <w:color w:val="000000"/>
                <w:sz w:val="24"/>
                <w:szCs w:val="24"/>
                <w:highlight w:val="white"/>
                <w:vertAlign w:val="superscript"/>
                <w:rtl w:val="0"/>
              </w:rPr>
              <w:t xml:space="preserve">th</w:t>
            </w:r>
            <w:r w:rsidDel="00000000" w:rsidR="00000000" w:rsidRPr="00000000">
              <w:rPr>
                <w:rFonts w:ascii="Arial" w:cs="Arial" w:eastAsia="Arial" w:hAnsi="Arial"/>
                <w:color w:val="000000"/>
                <w:sz w:val="24"/>
                <w:szCs w:val="24"/>
                <w:highlight w:val="white"/>
                <w:rtl w:val="0"/>
              </w:rPr>
              <w:t xml:space="preserve"> May 2023</w:t>
            </w:r>
            <w:r w:rsidDel="00000000" w:rsidR="00000000" w:rsidRPr="00000000">
              <w:rPr>
                <w:rtl w:val="0"/>
              </w:rPr>
            </w:r>
          </w:p>
        </w:tc>
      </w:tr>
      <w:tr>
        <w:trPr>
          <w:cantSplit w:val="0"/>
          <w:trHeight w:val="60" w:hRule="atLeast"/>
          <w:tblHeader w:val="0"/>
        </w:trPr>
        <w:tc>
          <w:tcPr/>
          <w:p w:rsidR="00000000" w:rsidDel="00000000" w:rsidP="00000000" w:rsidRDefault="00000000" w:rsidRPr="00000000" w14:paraId="00000030">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spacing w:after="0" w:lineRule="auto"/>
              <w:ind w:right="93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4">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25</w:t>
            </w:r>
            <w:r w:rsidDel="00000000" w:rsidR="00000000" w:rsidRPr="00000000">
              <w:rPr>
                <w:rFonts w:ascii="Arial" w:cs="Arial" w:eastAsia="Arial" w:hAnsi="Arial"/>
                <w:color w:val="000000"/>
                <w:sz w:val="24"/>
                <w:szCs w:val="24"/>
                <w:vertAlign w:val="superscript"/>
                <w:rtl w:val="0"/>
              </w:rPr>
              <w:t xml:space="preserve">th</w:t>
            </w:r>
            <w:r w:rsidDel="00000000" w:rsidR="00000000" w:rsidRPr="00000000">
              <w:rPr>
                <w:rFonts w:ascii="Arial" w:cs="Arial" w:eastAsia="Arial" w:hAnsi="Arial"/>
                <w:color w:val="000000"/>
                <w:sz w:val="24"/>
                <w:szCs w:val="24"/>
                <w:rtl w:val="0"/>
              </w:rPr>
              <w:t xml:space="preserve"> May 2026</w:t>
            </w:r>
          </w:p>
        </w:tc>
      </w:tr>
      <w:tr>
        <w:trPr>
          <w:cantSplit w:val="0"/>
          <w:trHeight w:val="471" w:hRule="atLeast"/>
          <w:tblHeader w:val="0"/>
        </w:trPr>
        <w:tc>
          <w:tcPr/>
          <w:p w:rsidR="00000000" w:rsidDel="00000000" w:rsidP="00000000" w:rsidRDefault="00000000" w:rsidRPr="00000000" w14:paraId="00000035">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Optional</w:t>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w:t>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Period</w:t>
            </w:r>
          </w:p>
        </w:tc>
        <w:tc>
          <w:tcPr/>
          <w:p w:rsidR="00000000" w:rsidDel="00000000" w:rsidP="00000000" w:rsidRDefault="00000000" w:rsidRPr="00000000" w14:paraId="0000003A">
            <w:pPr>
              <w:spacing w:after="0" w:lineRule="auto"/>
              <w:ind w:right="93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B">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 Months </w:t>
            </w:r>
          </w:p>
        </w:tc>
      </w:tr>
      <w:tr>
        <w:trPr>
          <w:cantSplit w:val="0"/>
          <w:trHeight w:val="837" w:hRule="atLeast"/>
          <w:tblHeader w:val="0"/>
        </w:trPr>
        <w:tc>
          <w:tcPr/>
          <w:p w:rsidR="00000000" w:rsidDel="00000000" w:rsidP="00000000" w:rsidRDefault="00000000" w:rsidRPr="00000000" w14:paraId="0000003C">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Procedure</w:t>
            </w:r>
          </w:p>
        </w:tc>
        <w:tc>
          <w:tcPr/>
          <w:p w:rsidR="00000000" w:rsidDel="00000000" w:rsidP="00000000" w:rsidRDefault="00000000" w:rsidRPr="00000000" w14:paraId="0000003F">
            <w:pPr>
              <w:spacing w:after="0" w:lineRule="auto"/>
              <w:ind w:right="93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0">
            <w:pPr>
              <w:numPr>
                <w:ilvl w:val="0"/>
                <w:numId w:val="3"/>
              </w:numPr>
              <w:pBdr>
                <w:top w:space="0" w:sz="0" w:val="nil"/>
                <w:left w:space="0" w:sz="0" w:val="nil"/>
                <w:bottom w:space="0" w:sz="0" w:val="nil"/>
                <w:right w:space="0" w:sz="0" w:val="nil"/>
                <w:between w:space="0" w:sz="0" w:val="nil"/>
              </w:pBdr>
              <w:spacing w:after="0" w:lineRule="auto"/>
              <w:ind w:left="720" w:righ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Open</w:t>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0" w:lineRule="auto"/>
              <w:ind w:left="720" w:right="936"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2">
            <w:pPr>
              <w:spacing w:after="0" w:lineRule="auto"/>
              <w:ind w:right="936"/>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43">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7 (Call-off Award Procedure)</w:t>
            </w:r>
          </w:p>
          <w:p w:rsidR="00000000" w:rsidDel="00000000" w:rsidP="00000000" w:rsidRDefault="00000000" w:rsidRPr="00000000" w14:paraId="00000044">
            <w:pPr>
              <w:spacing w:after="0" w:lineRule="auto"/>
              <w:ind w:right="936"/>
              <w:rPr>
                <w:rFonts w:ascii="Arial" w:cs="Arial" w:eastAsia="Arial" w:hAnsi="Arial"/>
                <w:color w:val="000000"/>
                <w:sz w:val="24"/>
                <w:szCs w:val="24"/>
              </w:rPr>
            </w:pPr>
            <w:r w:rsidDel="00000000" w:rsidR="00000000" w:rsidRPr="00000000">
              <w:rPr>
                <w:rtl w:val="0"/>
              </w:rPr>
            </w:r>
          </w:p>
        </w:tc>
      </w:tr>
      <w:tr>
        <w:trPr>
          <w:cantSplit w:val="0"/>
          <w:trHeight w:val="231" w:hRule="atLeast"/>
          <w:tblHeader w:val="0"/>
        </w:trPr>
        <w:tc>
          <w:tcPr/>
          <w:p w:rsidR="00000000" w:rsidDel="00000000" w:rsidP="00000000" w:rsidRDefault="00000000" w:rsidRPr="00000000" w14:paraId="00000045">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 </w:t>
            </w:r>
          </w:p>
          <w:p w:rsidR="00000000" w:rsidDel="00000000" w:rsidP="00000000" w:rsidRDefault="00000000" w:rsidRPr="00000000" w14:paraId="00000047">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8">
            <w:pPr>
              <w:spacing w:after="0" w:line="259"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(together these documents form the ‘the Framework Contract’)</w:t>
            </w:r>
          </w:p>
          <w:p w:rsidR="00000000" w:rsidDel="00000000" w:rsidP="00000000" w:rsidRDefault="00000000" w:rsidRPr="00000000" w14:paraId="00000049">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A">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B">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C">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D">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E">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F">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0">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1">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2">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3">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4">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5">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6">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7">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8">
            <w:pPr>
              <w:spacing w:after="0" w:line="259" w:lineRule="auto"/>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59">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documents are incorporated into the Framework Contract. Where numbers are missing we are not using these schedules. If the documents conflict, the following order of precedence applies:</w:t>
            </w:r>
          </w:p>
          <w:p w:rsidR="00000000" w:rsidDel="00000000" w:rsidP="00000000" w:rsidRDefault="00000000" w:rsidRPr="00000000" w14:paraId="0000005A">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Award Form</w:t>
            </w:r>
          </w:p>
          <w:p w:rsidR="00000000" w:rsidDel="00000000" w:rsidP="00000000" w:rsidRDefault="00000000" w:rsidRPr="00000000" w14:paraId="0000005B">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Framework Special Terms (see Section 10 ‘Framework Special Terms’ in this Framework Award Form)</w:t>
            </w:r>
          </w:p>
          <w:p w:rsidR="00000000" w:rsidDel="00000000" w:rsidP="00000000" w:rsidRDefault="00000000" w:rsidRPr="00000000" w14:paraId="0000005C">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RM6273 Employee Benefits and Services </w:t>
            </w:r>
          </w:p>
          <w:p w:rsidR="00000000" w:rsidDel="00000000" w:rsidP="00000000" w:rsidRDefault="00000000" w:rsidRPr="00000000" w14:paraId="0000005D">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 RM6273 Employee Benefits and Services</w:t>
            </w:r>
          </w:p>
          <w:p w:rsidR="00000000" w:rsidDel="00000000" w:rsidP="00000000" w:rsidRDefault="00000000" w:rsidRPr="00000000" w14:paraId="0000005E">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for RM6273 Employee Benefits and Services (in equal order of precedence):</w:t>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0" w:lineRule="auto"/>
              <w:ind w:left="45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0">
            <w:pPr>
              <w:numPr>
                <w:ilvl w:val="1"/>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1 (Specification) </w:t>
            </w:r>
          </w:p>
          <w:p w:rsidR="00000000" w:rsidDel="00000000" w:rsidP="00000000" w:rsidRDefault="00000000" w:rsidRPr="00000000" w14:paraId="00000061">
            <w:pPr>
              <w:numPr>
                <w:ilvl w:val="1"/>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3 (Framework Prices)</w:t>
            </w:r>
          </w:p>
          <w:p w:rsidR="00000000" w:rsidDel="00000000" w:rsidP="00000000" w:rsidRDefault="00000000" w:rsidRPr="00000000" w14:paraId="00000062">
            <w:pPr>
              <w:numPr>
                <w:ilvl w:val="1"/>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4 (Framework Management)</w:t>
            </w:r>
          </w:p>
          <w:p w:rsidR="00000000" w:rsidDel="00000000" w:rsidP="00000000" w:rsidRDefault="00000000" w:rsidRPr="00000000" w14:paraId="00000063">
            <w:pPr>
              <w:numPr>
                <w:ilvl w:val="1"/>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5 (Management Charges and Information)</w:t>
            </w:r>
          </w:p>
          <w:p w:rsidR="00000000" w:rsidDel="00000000" w:rsidP="00000000" w:rsidRDefault="00000000" w:rsidRPr="00000000" w14:paraId="00000064">
            <w:pPr>
              <w:numPr>
                <w:ilvl w:val="1"/>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6 (Order Form Template and Call-Off Schedules) including the following template Call-Off Schedules: </w:t>
            </w:r>
          </w:p>
          <w:p w:rsidR="00000000" w:rsidDel="00000000" w:rsidP="00000000" w:rsidRDefault="00000000" w:rsidRPr="00000000" w14:paraId="00000065">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66">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67">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68">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Call-Off Schedule 4 (Call-Off Tender)</w:t>
              <w:tab/>
              <w:tab/>
            </w:r>
          </w:p>
          <w:p w:rsidR="00000000" w:rsidDel="00000000" w:rsidP="00000000" w:rsidRDefault="00000000" w:rsidRPr="00000000" w14:paraId="00000069">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5 (Pricing Details)</w:t>
              <w:tab/>
              <w:t xml:space="preserve">         </w:t>
            </w:r>
          </w:p>
          <w:p w:rsidR="00000000" w:rsidDel="00000000" w:rsidP="00000000" w:rsidRDefault="00000000" w:rsidRPr="00000000" w14:paraId="0000006A">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7 (Key Supplier Staff)</w:t>
              <w:tab/>
              <w:tab/>
            </w:r>
          </w:p>
          <w:p w:rsidR="00000000" w:rsidDel="00000000" w:rsidP="00000000" w:rsidRDefault="00000000" w:rsidRPr="00000000" w14:paraId="0000006B">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 </w:t>
            </w:r>
          </w:p>
          <w:p w:rsidR="00000000" w:rsidDel="00000000" w:rsidP="00000000" w:rsidRDefault="00000000" w:rsidRPr="00000000" w14:paraId="0000006C">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9 (Security)</w:t>
              <w:tab/>
              <w:tab/>
              <w:t xml:space="preserve"> </w:t>
              <w:tab/>
              <w:t xml:space="preserve"> </w:t>
            </w:r>
          </w:p>
          <w:p w:rsidR="00000000" w:rsidDel="00000000" w:rsidP="00000000" w:rsidRDefault="00000000" w:rsidRPr="00000000" w14:paraId="0000006D">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10 (Exit Management) </w:t>
              <w:tab/>
            </w:r>
          </w:p>
          <w:p w:rsidR="00000000" w:rsidDel="00000000" w:rsidP="00000000" w:rsidRDefault="00000000" w:rsidRPr="00000000" w14:paraId="0000006E">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12 (Clustering) </w:t>
              <w:tab/>
              <w:tab/>
            </w:r>
          </w:p>
          <w:p w:rsidR="00000000" w:rsidDel="00000000" w:rsidP="00000000" w:rsidRDefault="00000000" w:rsidRPr="00000000" w14:paraId="0000006F">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13 (Implementation Plan and Testing)</w:t>
            </w:r>
          </w:p>
          <w:p w:rsidR="00000000" w:rsidDel="00000000" w:rsidP="00000000" w:rsidRDefault="00000000" w:rsidRPr="00000000" w14:paraId="00000070">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14 (Service Levels) </w:t>
              <w:tab/>
              <w:tab/>
            </w:r>
          </w:p>
          <w:p w:rsidR="00000000" w:rsidDel="00000000" w:rsidP="00000000" w:rsidRDefault="00000000" w:rsidRPr="00000000" w14:paraId="00000071">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15 (Call-Off Contract Management)</w:t>
            </w:r>
          </w:p>
          <w:p w:rsidR="00000000" w:rsidDel="00000000" w:rsidP="00000000" w:rsidRDefault="00000000" w:rsidRPr="00000000" w14:paraId="00000072">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16 (Benchmarking) </w:t>
              <w:tab/>
              <w:tab/>
            </w:r>
          </w:p>
          <w:p w:rsidR="00000000" w:rsidDel="00000000" w:rsidP="00000000" w:rsidRDefault="00000000" w:rsidRPr="00000000" w14:paraId="00000073">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17 (MOD Terms) </w:t>
              <w:tab/>
              <w:tab/>
              <w:t xml:space="preserve">               </w:t>
            </w:r>
          </w:p>
          <w:p w:rsidR="00000000" w:rsidDel="00000000" w:rsidP="00000000" w:rsidRDefault="00000000" w:rsidRPr="00000000" w14:paraId="00000074">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18 (Background Checks) </w:t>
              <w:tab/>
            </w:r>
          </w:p>
          <w:p w:rsidR="00000000" w:rsidDel="00000000" w:rsidP="00000000" w:rsidRDefault="00000000" w:rsidRPr="00000000" w14:paraId="00000075">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bookmarkStart w:colFirst="0" w:colLast="0" w:name="_heading=h.gjdgxs" w:id="2"/>
            <w:bookmarkEnd w:id="2"/>
            <w:r w:rsidDel="00000000" w:rsidR="00000000" w:rsidRPr="00000000">
              <w:rPr>
                <w:rFonts w:ascii="Arial" w:cs="Arial" w:eastAsia="Arial" w:hAnsi="Arial"/>
                <w:color w:val="000000"/>
                <w:sz w:val="24"/>
                <w:szCs w:val="24"/>
                <w:rtl w:val="0"/>
              </w:rPr>
              <w:t xml:space="preserve">Call-Off Schedule 19 (Scottish Law)</w:t>
              <w:tab/>
              <w:tab/>
              <w:t xml:space="preserve">      </w:t>
            </w:r>
          </w:p>
          <w:p w:rsidR="00000000" w:rsidDel="00000000" w:rsidP="00000000" w:rsidRDefault="00000000" w:rsidRPr="00000000" w14:paraId="00000076">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20 (Call-Off Specification)     </w:t>
            </w:r>
          </w:p>
          <w:p w:rsidR="00000000" w:rsidDel="00000000" w:rsidP="00000000" w:rsidRDefault="00000000" w:rsidRPr="00000000" w14:paraId="00000077">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21 (Northern Ireland Law)    </w:t>
            </w:r>
          </w:p>
          <w:p w:rsidR="00000000" w:rsidDel="00000000" w:rsidP="00000000" w:rsidRDefault="00000000" w:rsidRPr="00000000" w14:paraId="00000078">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22 (Lease Terms)                 </w:t>
            </w:r>
          </w:p>
          <w:p w:rsidR="00000000" w:rsidDel="00000000" w:rsidP="00000000" w:rsidRDefault="00000000" w:rsidRPr="00000000" w14:paraId="00000079">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23 (HMRC Terms)                 </w:t>
            </w:r>
          </w:p>
          <w:p w:rsidR="00000000" w:rsidDel="00000000" w:rsidP="00000000" w:rsidRDefault="00000000" w:rsidRPr="00000000" w14:paraId="0000007A">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7 (Call-Off Award Procedure)</w:t>
            </w:r>
          </w:p>
          <w:p w:rsidR="00000000" w:rsidDel="00000000" w:rsidP="00000000" w:rsidRDefault="00000000" w:rsidRPr="00000000" w14:paraId="0000007B">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8 (Self Audit Certificate)</w:t>
            </w:r>
          </w:p>
          <w:p w:rsidR="00000000" w:rsidDel="00000000" w:rsidP="00000000" w:rsidRDefault="00000000" w:rsidRPr="00000000" w14:paraId="0000007C">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9 (Cyber Essentials Scheme) </w:t>
            </w:r>
          </w:p>
          <w:p w:rsidR="00000000" w:rsidDel="00000000" w:rsidP="00000000" w:rsidRDefault="00000000" w:rsidRPr="00000000" w14:paraId="0000007D">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w:t>
            </w:r>
          </w:p>
          <w:p w:rsidR="00000000" w:rsidDel="00000000" w:rsidP="00000000" w:rsidRDefault="00000000" w:rsidRPr="00000000" w14:paraId="0000007E">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7F">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80">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6 (Key Subcontractors)</w:t>
            </w:r>
          </w:p>
          <w:p w:rsidR="00000000" w:rsidDel="00000000" w:rsidP="00000000" w:rsidRDefault="00000000" w:rsidRPr="00000000" w14:paraId="00000081">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7 (Financial Difficulties)</w:t>
            </w:r>
          </w:p>
          <w:p w:rsidR="00000000" w:rsidDel="00000000" w:rsidP="00000000" w:rsidRDefault="00000000" w:rsidRPr="00000000" w14:paraId="00000082">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8 (Guarantee)</w:t>
            </w:r>
          </w:p>
          <w:p w:rsidR="00000000" w:rsidDel="00000000" w:rsidP="00000000" w:rsidRDefault="00000000" w:rsidRPr="00000000" w14:paraId="00000083">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9 (Minimum Standards of Reliability)</w:t>
            </w:r>
          </w:p>
          <w:p w:rsidR="00000000" w:rsidDel="00000000" w:rsidP="00000000" w:rsidRDefault="00000000" w:rsidRPr="00000000" w14:paraId="00000084">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w:t>
            </w:r>
          </w:p>
          <w:p w:rsidR="00000000" w:rsidDel="00000000" w:rsidP="00000000" w:rsidRDefault="00000000" w:rsidRPr="00000000" w14:paraId="00000085">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12 (Supply Chain Visibility)</w:t>
            </w:r>
          </w:p>
          <w:p w:rsidR="00000000" w:rsidDel="00000000" w:rsidP="00000000" w:rsidRDefault="00000000" w:rsidRPr="00000000" w14:paraId="00000086">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87">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RM6273 Employee Benefits and Services</w:t>
            </w:r>
          </w:p>
          <w:p w:rsidR="00000000" w:rsidDel="00000000" w:rsidP="00000000" w:rsidRDefault="00000000" w:rsidRPr="00000000" w14:paraId="00000088">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2 (Framework Tender) RM6273 Employee Benefits and Services as long as any part of the Framework Tender that offers a better commercial position for CCS or Buyers (as decided by CCS) take precedence over the documents above </w:t>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940" w:hRule="atLeast"/>
          <w:tblHeader w:val="0"/>
        </w:trPr>
        <w:tc>
          <w:tcPr/>
          <w:p w:rsidR="00000000" w:rsidDel="00000000" w:rsidP="00000000" w:rsidRDefault="00000000" w:rsidRPr="00000000" w14:paraId="0000008A">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E">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1 - </w:t>
            </w:r>
          </w:p>
          <w:p w:rsidR="00000000" w:rsidDel="00000000" w:rsidP="00000000" w:rsidRDefault="00000000" w:rsidRPr="00000000" w14:paraId="0000008F">
            <w:pPr>
              <w:tabs>
                <w:tab w:val="left" w:leader="none" w:pos="2257"/>
              </w:tabs>
              <w:spacing w:after="0" w:line="259"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Special Terms are incorporated into this Call-Off Contract:</w:t>
            </w:r>
          </w:p>
          <w:p w:rsidR="00000000" w:rsidDel="00000000" w:rsidP="00000000" w:rsidRDefault="00000000" w:rsidRPr="00000000" w14:paraId="00000090">
            <w:pPr>
              <w:shd w:fill="ffffff" w:val="clear"/>
              <w:tabs>
                <w:tab w:val="left" w:leader="none" w:pos="2257"/>
              </w:tabs>
              <w:spacing w:after="0" w:line="256" w:lineRule="auto"/>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Should the Deliverables under the Call-Off Contract include any of the following Services:</w:t>
            </w:r>
          </w:p>
          <w:p w:rsidR="00000000" w:rsidDel="00000000" w:rsidP="00000000" w:rsidRDefault="00000000" w:rsidRPr="00000000" w14:paraId="00000091">
            <w:pPr>
              <w:shd w:fill="ffffff" w:val="clear"/>
              <w:tabs>
                <w:tab w:val="left" w:leader="none" w:pos="2257"/>
              </w:tabs>
              <w:spacing w:after="160" w:line="256" w:lineRule="auto"/>
              <w:ind w:left="720" w:firstLine="0"/>
              <w:rPr>
                <w:rFonts w:ascii="Arial" w:cs="Arial" w:eastAsia="Arial" w:hAnsi="Arial"/>
                <w:i w:val="1"/>
                <w:color w:val="000000"/>
                <w:sz w:val="24"/>
                <w:szCs w:val="24"/>
                <w:highlight w:val="white"/>
              </w:rPr>
            </w:pPr>
            <w:r w:rsidDel="00000000" w:rsidR="00000000" w:rsidRPr="00000000">
              <w:rPr>
                <w:rFonts w:ascii="Arial" w:cs="Arial" w:eastAsia="Arial" w:hAnsi="Arial"/>
                <w:i w:val="1"/>
                <w:color w:val="000000"/>
                <w:sz w:val="24"/>
                <w:szCs w:val="24"/>
                <w:highlight w:val="white"/>
                <w:rtl w:val="0"/>
              </w:rPr>
              <w:t xml:space="preserve">a)</w:t>
            </w:r>
            <w:r w:rsidDel="00000000" w:rsidR="00000000" w:rsidRPr="00000000">
              <w:rPr>
                <w:rFonts w:ascii="Times New Roman" w:cs="Times New Roman" w:eastAsia="Times New Roman" w:hAnsi="Times New Roman"/>
                <w:i w:val="1"/>
                <w:color w:val="000000"/>
                <w:sz w:val="14"/>
                <w:szCs w:val="14"/>
                <w:highlight w:val="white"/>
                <w:rtl w:val="0"/>
              </w:rPr>
              <w:t xml:space="preserve">    </w:t>
            </w:r>
            <w:r w:rsidDel="00000000" w:rsidR="00000000" w:rsidRPr="00000000">
              <w:rPr>
                <w:rFonts w:ascii="Arial" w:cs="Arial" w:eastAsia="Arial" w:hAnsi="Arial"/>
                <w:i w:val="1"/>
                <w:color w:val="000000"/>
                <w:sz w:val="24"/>
                <w:szCs w:val="24"/>
                <w:highlight w:val="white"/>
                <w:rtl w:val="0"/>
              </w:rPr>
              <w:t xml:space="preserve">Financial Wellbeing;</w:t>
            </w:r>
          </w:p>
          <w:p w:rsidR="00000000" w:rsidDel="00000000" w:rsidP="00000000" w:rsidRDefault="00000000" w:rsidRPr="00000000" w14:paraId="00000092">
            <w:pPr>
              <w:shd w:fill="ffffff" w:val="clear"/>
              <w:tabs>
                <w:tab w:val="left" w:leader="none" w:pos="2257"/>
              </w:tabs>
              <w:spacing w:after="160" w:line="256" w:lineRule="auto"/>
              <w:ind w:left="720" w:firstLine="0"/>
              <w:rPr>
                <w:rFonts w:ascii="Arial" w:cs="Arial" w:eastAsia="Arial" w:hAnsi="Arial"/>
                <w:i w:val="1"/>
                <w:color w:val="000000"/>
                <w:sz w:val="24"/>
                <w:szCs w:val="24"/>
                <w:highlight w:val="white"/>
              </w:rPr>
            </w:pPr>
            <w:r w:rsidDel="00000000" w:rsidR="00000000" w:rsidRPr="00000000">
              <w:rPr>
                <w:rFonts w:ascii="Arial" w:cs="Arial" w:eastAsia="Arial" w:hAnsi="Arial"/>
                <w:i w:val="1"/>
                <w:color w:val="000000"/>
                <w:sz w:val="24"/>
                <w:szCs w:val="24"/>
                <w:highlight w:val="white"/>
                <w:rtl w:val="0"/>
              </w:rPr>
              <w:t xml:space="preserve">b)</w:t>
            </w:r>
            <w:r w:rsidDel="00000000" w:rsidR="00000000" w:rsidRPr="00000000">
              <w:rPr>
                <w:rFonts w:ascii="Times New Roman" w:cs="Times New Roman" w:eastAsia="Times New Roman" w:hAnsi="Times New Roman"/>
                <w:i w:val="1"/>
                <w:color w:val="000000"/>
                <w:sz w:val="14"/>
                <w:szCs w:val="14"/>
                <w:highlight w:val="white"/>
                <w:rtl w:val="0"/>
              </w:rPr>
              <w:t xml:space="preserve">    </w:t>
            </w:r>
            <w:r w:rsidDel="00000000" w:rsidR="00000000" w:rsidRPr="00000000">
              <w:rPr>
                <w:rFonts w:ascii="Arial" w:cs="Arial" w:eastAsia="Arial" w:hAnsi="Arial"/>
                <w:i w:val="1"/>
                <w:color w:val="000000"/>
                <w:sz w:val="24"/>
                <w:szCs w:val="24"/>
                <w:highlight w:val="white"/>
                <w:rtl w:val="0"/>
              </w:rPr>
              <w:t xml:space="preserve">Green Cars</w:t>
            </w:r>
          </w:p>
          <w:p w:rsidR="00000000" w:rsidDel="00000000" w:rsidP="00000000" w:rsidRDefault="00000000" w:rsidRPr="00000000" w14:paraId="00000093">
            <w:pPr>
              <w:shd w:fill="ffffff" w:val="clear"/>
              <w:tabs>
                <w:tab w:val="left" w:leader="none" w:pos="2257"/>
              </w:tabs>
              <w:spacing w:after="160" w:line="256" w:lineRule="auto"/>
              <w:ind w:left="720" w:firstLine="0"/>
              <w:rPr>
                <w:rFonts w:ascii="Arial" w:cs="Arial" w:eastAsia="Arial" w:hAnsi="Arial"/>
                <w:i w:val="1"/>
                <w:color w:val="000000"/>
                <w:sz w:val="24"/>
                <w:szCs w:val="24"/>
                <w:highlight w:val="white"/>
              </w:rPr>
            </w:pPr>
            <w:r w:rsidDel="00000000" w:rsidR="00000000" w:rsidRPr="00000000">
              <w:rPr>
                <w:rFonts w:ascii="Arial" w:cs="Arial" w:eastAsia="Arial" w:hAnsi="Arial"/>
                <w:i w:val="1"/>
                <w:color w:val="000000"/>
                <w:sz w:val="24"/>
                <w:szCs w:val="24"/>
                <w:highlight w:val="white"/>
                <w:rtl w:val="0"/>
              </w:rPr>
              <w:t xml:space="preserve">c)</w:t>
            </w:r>
            <w:r w:rsidDel="00000000" w:rsidR="00000000" w:rsidRPr="00000000">
              <w:rPr>
                <w:rFonts w:ascii="Times New Roman" w:cs="Times New Roman" w:eastAsia="Times New Roman" w:hAnsi="Times New Roman"/>
                <w:i w:val="1"/>
                <w:color w:val="000000"/>
                <w:sz w:val="14"/>
                <w:szCs w:val="14"/>
                <w:highlight w:val="white"/>
                <w:rtl w:val="0"/>
              </w:rPr>
              <w:t xml:space="preserve">    </w:t>
            </w:r>
            <w:r w:rsidDel="00000000" w:rsidR="00000000" w:rsidRPr="00000000">
              <w:rPr>
                <w:rFonts w:ascii="Arial" w:cs="Arial" w:eastAsia="Arial" w:hAnsi="Arial"/>
                <w:i w:val="1"/>
                <w:color w:val="000000"/>
                <w:sz w:val="24"/>
                <w:szCs w:val="24"/>
                <w:highlight w:val="white"/>
                <w:rtl w:val="0"/>
              </w:rPr>
              <w:t xml:space="preserve">Payroll Giving; or</w:t>
            </w:r>
          </w:p>
          <w:p w:rsidR="00000000" w:rsidDel="00000000" w:rsidP="00000000" w:rsidRDefault="00000000" w:rsidRPr="00000000" w14:paraId="00000094">
            <w:pPr>
              <w:shd w:fill="ffffff" w:val="clear"/>
              <w:tabs>
                <w:tab w:val="left" w:leader="none" w:pos="2257"/>
              </w:tabs>
              <w:spacing w:after="160" w:line="256" w:lineRule="auto"/>
              <w:ind w:left="720" w:firstLine="0"/>
              <w:rPr>
                <w:rFonts w:ascii="Arial" w:cs="Arial" w:eastAsia="Arial" w:hAnsi="Arial"/>
                <w:i w:val="1"/>
                <w:color w:val="000000"/>
                <w:sz w:val="24"/>
                <w:szCs w:val="24"/>
                <w:highlight w:val="white"/>
              </w:rPr>
            </w:pPr>
            <w:r w:rsidDel="00000000" w:rsidR="00000000" w:rsidRPr="00000000">
              <w:rPr>
                <w:rFonts w:ascii="Arial" w:cs="Arial" w:eastAsia="Arial" w:hAnsi="Arial"/>
                <w:i w:val="1"/>
                <w:color w:val="000000"/>
                <w:sz w:val="24"/>
                <w:szCs w:val="24"/>
                <w:highlight w:val="white"/>
                <w:rtl w:val="0"/>
              </w:rPr>
              <w:t xml:space="preserve">d)</w:t>
            </w:r>
            <w:r w:rsidDel="00000000" w:rsidR="00000000" w:rsidRPr="00000000">
              <w:rPr>
                <w:rFonts w:ascii="Times New Roman" w:cs="Times New Roman" w:eastAsia="Times New Roman" w:hAnsi="Times New Roman"/>
                <w:i w:val="1"/>
                <w:color w:val="000000"/>
                <w:sz w:val="14"/>
                <w:szCs w:val="14"/>
                <w:highlight w:val="white"/>
                <w:rtl w:val="0"/>
              </w:rPr>
              <w:t xml:space="preserve">    </w:t>
            </w:r>
            <w:r w:rsidDel="00000000" w:rsidR="00000000" w:rsidRPr="00000000">
              <w:rPr>
                <w:rFonts w:ascii="Arial" w:cs="Arial" w:eastAsia="Arial" w:hAnsi="Arial"/>
                <w:i w:val="1"/>
                <w:color w:val="000000"/>
                <w:sz w:val="24"/>
                <w:szCs w:val="24"/>
                <w:highlight w:val="white"/>
                <w:rtl w:val="0"/>
              </w:rPr>
              <w:t xml:space="preserve">Cycle to work,</w:t>
            </w:r>
          </w:p>
          <w:p w:rsidR="00000000" w:rsidDel="00000000" w:rsidP="00000000" w:rsidRDefault="00000000" w:rsidRPr="00000000" w14:paraId="00000095">
            <w:pPr>
              <w:tabs>
                <w:tab w:val="left" w:leader="none" w:pos="2257"/>
              </w:tabs>
              <w:spacing w:after="0" w:line="259" w:lineRule="auto"/>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as these Services constitute regulated financial activities or have other regulatory requirements, the Buyer will be required to sign an agreement directly with the Supplier’s Subcontractor, being the provider of those Services, in addition to the Call-Off Contract, in a form to be agreed between the Buyer and the Subcontractor.</w:t>
            </w:r>
            <w:r w:rsidDel="00000000" w:rsidR="00000000" w:rsidRPr="00000000">
              <w:rPr>
                <w:rtl w:val="0"/>
              </w:rPr>
            </w:r>
          </w:p>
        </w:tc>
      </w:tr>
      <w:tr>
        <w:trPr>
          <w:cantSplit w:val="0"/>
          <w:trHeight w:val="55" w:hRule="atLeast"/>
          <w:tblHeader w:val="0"/>
        </w:trPr>
        <w:tc>
          <w:tcPr/>
          <w:p w:rsidR="00000000" w:rsidDel="00000000" w:rsidP="00000000" w:rsidRDefault="00000000" w:rsidRPr="00000000" w14:paraId="00000096">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 </w:t>
            </w:r>
          </w:p>
        </w:tc>
        <w:tc>
          <w:tcPr/>
          <w:p w:rsidR="00000000" w:rsidDel="00000000" w:rsidP="00000000" w:rsidRDefault="00000000" w:rsidRPr="00000000" w14:paraId="00000098">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in Framework Schedule 3 (Framework Prices)</w:t>
            </w:r>
          </w:p>
        </w:tc>
      </w:tr>
      <w:tr>
        <w:trPr>
          <w:cantSplit w:val="0"/>
          <w:trHeight w:val="569" w:hRule="atLeast"/>
          <w:tblHeader w:val="0"/>
        </w:trPr>
        <w:tc>
          <w:tcPr/>
          <w:p w:rsidR="00000000" w:rsidDel="00000000" w:rsidP="00000000" w:rsidRDefault="00000000" w:rsidRPr="00000000" w14:paraId="00000099">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Insurance</w:t>
            </w:r>
          </w:p>
        </w:tc>
        <w:tc>
          <w:tcPr>
            <w:shd w:fill="auto" w:val="clear"/>
          </w:tcPr>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Details in Annex of Joint Schedule 3 (Insurance Requirements).</w:t>
            </w:r>
            <w:r w:rsidDel="00000000" w:rsidR="00000000" w:rsidRPr="00000000">
              <w:rPr>
                <w:rtl w:val="0"/>
              </w:rPr>
            </w:r>
          </w:p>
        </w:tc>
      </w:tr>
      <w:tr>
        <w:trPr>
          <w:cantSplit w:val="0"/>
          <w:trHeight w:val="939" w:hRule="atLeast"/>
          <w:tblHeader w:val="0"/>
        </w:trPr>
        <w:tc>
          <w:tcPr/>
          <w:p w:rsidR="00000000" w:rsidDel="00000000" w:rsidP="00000000" w:rsidRDefault="00000000" w:rsidRPr="00000000" w14:paraId="0000009C">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Essentials Certification</w:t>
            </w:r>
          </w:p>
        </w:tc>
        <w:tc>
          <w:tcPr/>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A0">
            <w:pPr>
              <w:numPr>
                <w:ilvl w:val="0"/>
                <w:numId w:val="4"/>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Cyber Essentials Scheme Basic Certificate. Details in Framework Schedule 9 (Cyber Essentials Scheme)</w:t>
            </w:r>
          </w:p>
        </w:tc>
      </w:tr>
      <w:tr>
        <w:trPr>
          <w:cantSplit w:val="0"/>
          <w:trHeight w:val="731" w:hRule="atLeast"/>
          <w:tblHeader w:val="0"/>
        </w:trPr>
        <w:tc>
          <w:tcPr/>
          <w:p w:rsidR="00000000" w:rsidDel="00000000" w:rsidP="00000000" w:rsidRDefault="00000000" w:rsidRPr="00000000" w14:paraId="000000A1">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0A3">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pay, excluding VAT, 1% of all the Charges for the Deliverables invoiced to the Buyer under all Call-Off Contracts.</w:t>
            </w:r>
          </w:p>
        </w:tc>
      </w:tr>
      <w:tr>
        <w:trPr>
          <w:cantSplit w:val="0"/>
          <w:trHeight w:val="1333" w:hRule="atLeast"/>
          <w:tblHeader w:val="0"/>
        </w:trPr>
        <w:tc>
          <w:tcPr/>
          <w:p w:rsidR="00000000" w:rsidDel="00000000" w:rsidP="00000000" w:rsidRDefault="00000000" w:rsidRPr="00000000" w14:paraId="000000A4">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Manager</w:t>
            </w:r>
          </w:p>
        </w:tc>
        <w:tc>
          <w:tcPr/>
          <w:p w:rsidR="00000000" w:rsidDel="00000000" w:rsidP="00000000" w:rsidRDefault="00000000" w:rsidRPr="00000000" w14:paraId="000000A8">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A9">
            <w:pP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AA">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AB">
            <w:pPr>
              <w:rPr>
                <w:rFonts w:ascii="Arial" w:cs="Arial" w:eastAsia="Arial" w:hAnsi="Arial"/>
                <w:color w:val="000000"/>
                <w:sz w:val="24"/>
                <w:szCs w:val="24"/>
              </w:rPr>
            </w:pPr>
            <w:r w:rsidDel="00000000" w:rsidR="00000000" w:rsidRPr="00000000">
              <w:rPr>
                <w:rFonts w:ascii="Arial" w:cs="Arial" w:eastAsia="Arial" w:hAnsi="Arial"/>
                <w:b w:val="1"/>
                <w:color w:val="000000"/>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AC">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AF">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B0">
            <w:pP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B1">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B2">
            <w:pPr>
              <w:rPr>
                <w:rFonts w:ascii="Arial" w:cs="Arial" w:eastAsia="Arial" w:hAnsi="Arial"/>
                <w:color w:val="000000"/>
                <w:sz w:val="24"/>
                <w:szCs w:val="24"/>
              </w:rPr>
            </w:pPr>
            <w:r w:rsidDel="00000000" w:rsidR="00000000" w:rsidRPr="00000000">
              <w:rPr>
                <w:rFonts w:ascii="Arial" w:cs="Arial" w:eastAsia="Arial" w:hAnsi="Arial"/>
                <w:b w:val="1"/>
                <w:color w:val="000000"/>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B3">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B7">
            <w:pP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B8">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B9">
            <w:pPr>
              <w:rPr>
                <w:rFonts w:ascii="Arial" w:cs="Arial" w:eastAsia="Arial" w:hAnsi="Arial"/>
                <w:color w:val="000000"/>
                <w:sz w:val="24"/>
                <w:szCs w:val="24"/>
              </w:rPr>
            </w:pPr>
            <w:r w:rsidDel="00000000" w:rsidR="00000000" w:rsidRPr="00000000">
              <w:rPr>
                <w:rFonts w:ascii="Arial" w:cs="Arial" w:eastAsia="Arial" w:hAnsi="Arial"/>
                <w:b w:val="1"/>
                <w:color w:val="000000"/>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BA">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Data Protection </w:t>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Officer</w:t>
            </w:r>
          </w:p>
        </w:tc>
        <w:tc>
          <w:tcPr/>
          <w:p w:rsidR="00000000" w:rsidDel="00000000" w:rsidP="00000000" w:rsidRDefault="00000000" w:rsidRPr="00000000" w14:paraId="000000BD">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BE">
            <w:pP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BF">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C0">
            <w:pPr>
              <w:rPr>
                <w:rFonts w:ascii="Arial" w:cs="Arial" w:eastAsia="Arial" w:hAnsi="Arial"/>
                <w:color w:val="000000"/>
                <w:sz w:val="24"/>
                <w:szCs w:val="24"/>
              </w:rPr>
            </w:pPr>
            <w:r w:rsidDel="00000000" w:rsidR="00000000" w:rsidRPr="00000000">
              <w:rPr>
                <w:rFonts w:ascii="Arial" w:cs="Arial" w:eastAsia="Arial" w:hAnsi="Arial"/>
                <w:b w:val="1"/>
                <w:color w:val="000000"/>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C1">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C3">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£10,000,000</w:t>
            </w:r>
          </w:p>
        </w:tc>
      </w:tr>
      <w:tr>
        <w:trPr>
          <w:cantSplit w:val="0"/>
          <w:trHeight w:val="1333" w:hRule="atLeast"/>
          <w:tblHeader w:val="0"/>
        </w:trPr>
        <w:tc>
          <w:tcPr/>
          <w:p w:rsidR="00000000" w:rsidDel="00000000" w:rsidP="00000000" w:rsidRDefault="00000000" w:rsidRPr="00000000" w14:paraId="000000C4">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Marketing Contact</w:t>
            </w:r>
          </w:p>
        </w:tc>
        <w:tc>
          <w:tcPr/>
          <w:p w:rsidR="00000000" w:rsidDel="00000000" w:rsidP="00000000" w:rsidRDefault="00000000" w:rsidRPr="00000000" w14:paraId="000000C7">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C8">
            <w:pP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C9">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CA">
            <w:pPr>
              <w:rPr>
                <w:rFonts w:ascii="Arial" w:cs="Arial" w:eastAsia="Arial" w:hAnsi="Arial"/>
                <w:color w:val="000000"/>
                <w:sz w:val="24"/>
                <w:szCs w:val="24"/>
              </w:rPr>
            </w:pPr>
            <w:r w:rsidDel="00000000" w:rsidR="00000000" w:rsidRPr="00000000">
              <w:rPr>
                <w:rFonts w:ascii="Arial" w:cs="Arial" w:eastAsia="Arial" w:hAnsi="Arial"/>
                <w:b w:val="1"/>
                <w:color w:val="000000"/>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CB">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Subcontractors</w:t>
            </w:r>
          </w:p>
        </w:tc>
        <w:tc>
          <w:tcPr>
            <w:shd w:fill="auto" w:val="clear"/>
          </w:tcPr>
          <w:p w:rsidR="00000000" w:rsidDel="00000000" w:rsidP="00000000" w:rsidRDefault="00000000" w:rsidRPr="00000000" w14:paraId="000000CD">
            <w:pPr>
              <w:spacing w:after="120" w:before="12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If Applicable - Please see embedded folder within the Framework Contract Documents folder or N/A</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CE">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D1">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D2">
            <w:pP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D3">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D4">
            <w:pPr>
              <w:rPr>
                <w:rFonts w:ascii="Arial" w:cs="Arial" w:eastAsia="Arial" w:hAnsi="Arial"/>
                <w:color w:val="000000"/>
                <w:sz w:val="24"/>
                <w:szCs w:val="24"/>
              </w:rPr>
            </w:pPr>
            <w:r w:rsidDel="00000000" w:rsidR="00000000" w:rsidRPr="00000000">
              <w:rPr>
                <w:rFonts w:ascii="Arial" w:cs="Arial" w:eastAsia="Arial" w:hAnsi="Arial"/>
                <w:b w:val="1"/>
                <w:color w:val="000000"/>
                <w:rtl w:val="0"/>
              </w:rPr>
              <w:t xml:space="preserve">Redacted under FOIA section 40, Personal Information</w:t>
            </w:r>
            <w:r w:rsidDel="00000000" w:rsidR="00000000" w:rsidRPr="00000000">
              <w:rPr>
                <w:rtl w:val="0"/>
              </w:rPr>
            </w:r>
          </w:p>
        </w:tc>
      </w:tr>
    </w:tbl>
    <w:p w:rsidR="00000000" w:rsidDel="00000000" w:rsidP="00000000" w:rsidRDefault="00000000" w:rsidRPr="00000000" w14:paraId="000000D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6">
      <w:pPr>
        <w:rPr>
          <w:rFonts w:ascii="Arial" w:cs="Arial" w:eastAsia="Arial" w:hAnsi="Arial"/>
          <w:sz w:val="24"/>
          <w:szCs w:val="24"/>
        </w:rPr>
      </w:pPr>
      <w:r w:rsidDel="00000000" w:rsidR="00000000" w:rsidRPr="00000000">
        <w:rPr>
          <w:rtl w:val="0"/>
        </w:rPr>
      </w:r>
    </w:p>
    <w:tbl>
      <w:tblPr>
        <w:tblStyle w:val="Table3"/>
        <w:tblW w:w="9170.000000000002" w:type="dxa"/>
        <w:jc w:val="left"/>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1526"/>
        <w:gridCol w:w="2980"/>
        <w:gridCol w:w="1698"/>
        <w:gridCol w:w="2966"/>
        <w:tblGridChange w:id="0">
          <w:tblGrid>
            <w:gridCol w:w="1526"/>
            <w:gridCol w:w="2980"/>
            <w:gridCol w:w="1698"/>
            <w:gridCol w:w="2966"/>
          </w:tblGrid>
        </w:tblGridChange>
      </w:tblGrid>
      <w:tr>
        <w:trPr>
          <w:cantSplit w:val="0"/>
          <w:trHeight w:val="635" w:hRule="atLeast"/>
          <w:tblHeader w:val="0"/>
        </w:trPr>
        <w:tc>
          <w:tcPr>
            <w:gridSpan w:val="2"/>
          </w:tcPr>
          <w:p w:rsidR="00000000" w:rsidDel="00000000" w:rsidP="00000000" w:rsidRDefault="00000000" w:rsidRPr="00000000" w14:paraId="000000D7">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D9">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CCS:</w:t>
            </w:r>
          </w:p>
        </w:tc>
      </w:tr>
      <w:tr>
        <w:trPr>
          <w:cantSplit w:val="0"/>
          <w:trHeight w:val="635" w:hRule="atLeast"/>
          <w:tblHeader w:val="0"/>
        </w:trPr>
        <w:tc>
          <w:tcPr/>
          <w:p w:rsidR="00000000" w:rsidDel="00000000" w:rsidP="00000000" w:rsidRDefault="00000000" w:rsidRPr="00000000" w14:paraId="000000DB">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DC">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b w:val="1"/>
                <w:color w:val="000000"/>
                <w:rtl w:val="0"/>
              </w:rPr>
              <w:t xml:space="preserve">Redacted under FOIA section 40, Personal Information</w:t>
            </w:r>
            <w:r w:rsidDel="00000000" w:rsidR="00000000" w:rsidRPr="00000000">
              <w:rPr>
                <w:rtl w:val="0"/>
              </w:rPr>
            </w:r>
          </w:p>
        </w:tc>
        <w:tc>
          <w:tcPr/>
          <w:p w:rsidR="00000000" w:rsidDel="00000000" w:rsidP="00000000" w:rsidRDefault="00000000" w:rsidRPr="00000000" w14:paraId="000000DD">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DE">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b w:val="1"/>
                <w:color w:val="000000"/>
                <w:rtl w:val="0"/>
              </w:rPr>
              <w:t xml:space="preserve">Redacted under FOIA section 40, Personal Information</w:t>
            </w: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F">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E0">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b w:val="1"/>
                <w:color w:val="000000"/>
                <w:rtl w:val="0"/>
              </w:rPr>
              <w:t xml:space="preserve">Redacted under FOIA section 40, Personal Information</w:t>
            </w:r>
            <w:r w:rsidDel="00000000" w:rsidR="00000000" w:rsidRPr="00000000">
              <w:rPr>
                <w:rtl w:val="0"/>
              </w:rPr>
            </w:r>
          </w:p>
        </w:tc>
        <w:tc>
          <w:tcPr/>
          <w:p w:rsidR="00000000" w:rsidDel="00000000" w:rsidP="00000000" w:rsidRDefault="00000000" w:rsidRPr="00000000" w14:paraId="000000E1">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E2">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b w:val="1"/>
                <w:color w:val="000000"/>
                <w:rtl w:val="0"/>
              </w:rPr>
              <w:t xml:space="preserve">Redacted under FOIA section 40, Personal Information</w:t>
            </w: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E3">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E4">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b w:val="1"/>
                <w:color w:val="000000"/>
                <w:rtl w:val="0"/>
              </w:rPr>
              <w:t xml:space="preserve">Redacted under FOIA section 40, Personal Information</w:t>
            </w:r>
            <w:r w:rsidDel="00000000" w:rsidR="00000000" w:rsidRPr="00000000">
              <w:rPr>
                <w:rtl w:val="0"/>
              </w:rPr>
            </w:r>
          </w:p>
        </w:tc>
        <w:tc>
          <w:tcPr/>
          <w:p w:rsidR="00000000" w:rsidDel="00000000" w:rsidP="00000000" w:rsidRDefault="00000000" w:rsidRPr="00000000" w14:paraId="000000E5">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E6">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b w:val="1"/>
                <w:color w:val="000000"/>
                <w:rtl w:val="0"/>
              </w:rPr>
              <w:t xml:space="preserve">Redacted under FOIA section 40, Personal Information</w:t>
            </w: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E7">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E8">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b w:val="1"/>
                <w:color w:val="000000"/>
                <w:rtl w:val="0"/>
              </w:rPr>
              <w:t xml:space="preserve">Redacted under FOIA section 40, Personal Information</w:t>
            </w:r>
            <w:r w:rsidDel="00000000" w:rsidR="00000000" w:rsidRPr="00000000">
              <w:rPr>
                <w:rtl w:val="0"/>
              </w:rPr>
            </w:r>
          </w:p>
        </w:tc>
        <w:tc>
          <w:tcPr/>
          <w:p w:rsidR="00000000" w:rsidDel="00000000" w:rsidP="00000000" w:rsidRDefault="00000000" w:rsidRPr="00000000" w14:paraId="000000E9">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EA">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b w:val="1"/>
                <w:color w:val="000000"/>
                <w:rtl w:val="0"/>
              </w:rPr>
              <w:t xml:space="preserve">Redacted under FOIA section 40, Personal Information</w:t>
            </w:r>
            <w:r w:rsidDel="00000000" w:rsidR="00000000" w:rsidRPr="00000000">
              <w:rPr>
                <w:rtl w:val="0"/>
              </w:rPr>
            </w:r>
          </w:p>
        </w:tc>
      </w:tr>
    </w:tbl>
    <w:p w:rsidR="00000000" w:rsidDel="00000000" w:rsidP="00000000" w:rsidRDefault="00000000" w:rsidRPr="00000000" w14:paraId="000000EB">
      <w:pPr>
        <w:pBdr>
          <w:top w:space="0" w:sz="0" w:val="nil"/>
          <w:left w:space="0" w:sz="0" w:val="nil"/>
          <w:bottom w:space="0" w:sz="0" w:val="nil"/>
          <w:right w:space="0" w:sz="0" w:val="nil"/>
          <w:between w:space="0" w:sz="0" w:val="nil"/>
        </w:pBdr>
        <w:ind w:left="792" w:firstLine="0"/>
        <w:rPr>
          <w:rFonts w:ascii="Arial" w:cs="Arial" w:eastAsia="Arial" w:hAnsi="Arial"/>
          <w:i w:val="1"/>
        </w:rPr>
        <w:sectPr>
          <w:type w:val="nextPage"/>
          <w:pgSz w:h="16838" w:w="11906" w:orient="portrait"/>
          <w:pgMar w:bottom="1440" w:top="1440" w:left="1440" w:right="1440" w:header="720" w:footer="720"/>
        </w:sectPr>
      </w:pP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ind w:left="792" w:firstLine="0"/>
        <w:rPr>
          <w:rFonts w:ascii="Arial" w:cs="Arial" w:eastAsia="Arial" w:hAnsi="Arial"/>
          <w:i w:val="1"/>
        </w:rPr>
      </w:pPr>
      <w:r w:rsidDel="00000000" w:rsidR="00000000" w:rsidRPr="00000000">
        <w:rPr>
          <w:rtl w:val="0"/>
        </w:rPr>
      </w:r>
    </w:p>
    <w:sectPr>
      <w:type w:val="continuous"/>
      <w:pgSz w:h="16838" w:w="11906"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2">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F3">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5">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v2.9</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tabs>
        <w:tab w:val="center" w:leader="none" w:pos="4513"/>
        <w:tab w:val="right" w:leader="none" w:pos="9026"/>
      </w:tabs>
      <w:spacing w:after="0" w:lineRule="auto"/>
      <w:rPr>
        <w:color w:val="a6a6a6"/>
      </w:rPr>
    </w:pPr>
    <w:r w:rsidDel="00000000" w:rsidR="00000000" w:rsidRPr="00000000">
      <w:rPr>
        <w:rtl w:val="0"/>
      </w:rPr>
    </w:r>
  </w:p>
  <w:p w:rsidR="00000000" w:rsidDel="00000000" w:rsidP="00000000" w:rsidRDefault="00000000" w:rsidRPr="00000000" w14:paraId="000000F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RM6273 Employee Benefits and Services</w:t>
      <w:tab/>
      <w:t xml:space="preserve">                                           </w:t>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9">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a6a6a6"/>
        <w:sz w:val="20"/>
        <w:szCs w:val="20"/>
      </w:rPr>
    </w:pPr>
    <w:r w:rsidDel="00000000" w:rsidR="00000000" w:rsidRPr="00000000">
      <w:rPr>
        <w:rFonts w:ascii="Arial" w:cs="Arial" w:eastAsia="Arial" w:hAnsi="Arial"/>
        <w:b w:val="1"/>
        <w:color w:val="a6a6a6"/>
        <w:sz w:val="20"/>
        <w:szCs w:val="20"/>
        <w:rtl w:val="0"/>
      </w:rPr>
      <w:t xml:space="preserve">Framework Award Form</w:t>
    </w:r>
  </w:p>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Crown Copyright 2018</w:t>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Framework Award Form</w:t>
    </w:r>
  </w:p>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430" w:hanging="360"/>
      </w:pPr>
      <w:rPr>
        <w:rFonts w:ascii="Courier New" w:cs="Courier New" w:eastAsia="Courier New" w:hAnsi="Courier New"/>
      </w:rPr>
    </w:lvl>
    <w:lvl w:ilvl="2">
      <w:start w:val="1"/>
      <w:numFmt w:val="bullet"/>
      <w:lvlText w:val="▪"/>
      <w:lvlJc w:val="left"/>
      <w:pPr>
        <w:ind w:left="3150" w:hanging="360"/>
      </w:pPr>
      <w:rPr>
        <w:rFonts w:ascii="Noto Sans Symbols" w:cs="Noto Sans Symbols" w:eastAsia="Noto Sans Symbols" w:hAnsi="Noto Sans Symbols"/>
      </w:rPr>
    </w:lvl>
    <w:lvl w:ilvl="3">
      <w:start w:val="1"/>
      <w:numFmt w:val="bullet"/>
      <w:lvlText w:val="●"/>
      <w:lvlJc w:val="left"/>
      <w:pPr>
        <w:ind w:left="3870" w:hanging="360"/>
      </w:pPr>
      <w:rPr>
        <w:rFonts w:ascii="Noto Sans Symbols" w:cs="Noto Sans Symbols" w:eastAsia="Noto Sans Symbols" w:hAnsi="Noto Sans Symbols"/>
      </w:rPr>
    </w:lvl>
    <w:lvl w:ilvl="4">
      <w:start w:val="1"/>
      <w:numFmt w:val="bullet"/>
      <w:lvlText w:val="o"/>
      <w:lvlJc w:val="left"/>
      <w:pPr>
        <w:ind w:left="4590" w:hanging="360"/>
      </w:pPr>
      <w:rPr>
        <w:rFonts w:ascii="Courier New" w:cs="Courier New" w:eastAsia="Courier New" w:hAnsi="Courier New"/>
      </w:rPr>
    </w:lvl>
    <w:lvl w:ilvl="5">
      <w:start w:val="1"/>
      <w:numFmt w:val="bullet"/>
      <w:lvlText w:val="▪"/>
      <w:lvlJc w:val="left"/>
      <w:pPr>
        <w:ind w:left="5310" w:hanging="360"/>
      </w:pPr>
      <w:rPr>
        <w:rFonts w:ascii="Noto Sans Symbols" w:cs="Noto Sans Symbols" w:eastAsia="Noto Sans Symbols" w:hAnsi="Noto Sans Symbols"/>
      </w:rPr>
    </w:lvl>
    <w:lvl w:ilvl="6">
      <w:start w:val="1"/>
      <w:numFmt w:val="bullet"/>
      <w:lvlText w:val="●"/>
      <w:lvlJc w:val="left"/>
      <w:pPr>
        <w:ind w:left="6030" w:hanging="360"/>
      </w:pPr>
      <w:rPr>
        <w:rFonts w:ascii="Noto Sans Symbols" w:cs="Noto Sans Symbols" w:eastAsia="Noto Sans Symbols" w:hAnsi="Noto Sans Symbols"/>
      </w:rPr>
    </w:lvl>
    <w:lvl w:ilvl="7">
      <w:start w:val="1"/>
      <w:numFmt w:val="bullet"/>
      <w:lvlText w:val="o"/>
      <w:lvlJc w:val="left"/>
      <w:pPr>
        <w:ind w:left="6750" w:hanging="360"/>
      </w:pPr>
      <w:rPr>
        <w:rFonts w:ascii="Courier New" w:cs="Courier New" w:eastAsia="Courier New" w:hAnsi="Courier New"/>
      </w:rPr>
    </w:lvl>
    <w:lvl w:ilvl="8">
      <w:start w:val="1"/>
      <w:numFmt w:val="bullet"/>
      <w:lvlText w:val="▪"/>
      <w:lvlJc w:val="left"/>
      <w:pPr>
        <w:ind w:left="7470" w:hanging="360"/>
      </w:pPr>
      <w:rPr>
        <w:rFonts w:ascii="Noto Sans Symbols" w:cs="Noto Sans Symbols" w:eastAsia="Noto Sans Symbols" w:hAnsi="Noto Sans Symbols"/>
      </w:rPr>
    </w:lvl>
  </w:abstractNum>
  <w:abstractNum w:abstractNumId="2">
    <w:lvl w:ilvl="0">
      <w:start w:val="1"/>
      <w:numFmt w:val="decimal"/>
      <w:lvlText w:val="%1."/>
      <w:lvlJc w:val="left"/>
      <w:pPr>
        <w:ind w:left="45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decimal"/>
      <w:lvlText w:val="%1."/>
      <w:lvlJc w:val="left"/>
      <w:pPr>
        <w:ind w:left="644" w:hanging="357"/>
      </w:pPr>
      <w:rPr>
        <w:b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3600"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60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suppressAutoHyphens w:val="1"/>
    </w:pPr>
    <w:rPr>
      <w:lang w:eastAsia="en-US"/>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uiPriority w:val="9"/>
    <w:semiHidden w:val="1"/>
    <w:unhideWhenUsed w:val="1"/>
    <w:qFormat w:val="1"/>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uiPriority w:val="9"/>
    <w:semiHidden w:val="1"/>
    <w:unhideWhenUsed w:val="1"/>
    <w:qFormat w:val="1"/>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numbering" w:styleId="WWOutlineListStyle8" w:customStyle="1">
    <w:name w:val="WW_OutlineListStyle_8"/>
    <w:basedOn w:val="NoList"/>
  </w:style>
  <w:style w:type="paragraph" w:styleId="Level1Heading" w:customStyle="1">
    <w:name w:val="Level 1 Heading"/>
    <w:basedOn w:val="BodyText"/>
    <w:next w:val="Normal"/>
    <w:pPr>
      <w:keepNext w:val="1"/>
      <w:tabs>
        <w:tab w:val="left" w:pos="-1342"/>
      </w:tabs>
      <w:suppressAutoHyphens w:val="0"/>
      <w:spacing w:after="200" w:before="360" w:line="360" w:lineRule="auto"/>
      <w:outlineLvl w:val="0"/>
    </w:pPr>
    <w:rPr>
      <w:rFonts w:ascii="Arial" w:eastAsia="Times New Roman" w:hAnsi="Arial"/>
      <w:b w:val="1"/>
      <w:szCs w:val="20"/>
    </w:rPr>
  </w:style>
  <w:style w:type="paragraph" w:styleId="GPSL1CLAUSEHEADING" w:customStyle="1">
    <w:name w:val="GPS L1 CLAUSE HEADING"/>
    <w:basedOn w:val="Normal"/>
    <w:next w:val="Normal"/>
    <w:qFormat w:val="1"/>
    <w:pPr>
      <w:tabs>
        <w:tab w:val="left" w:pos="-3864"/>
      </w:tabs>
      <w:suppressAutoHyphens w:val="0"/>
      <w:spacing w:after="240" w:before="240" w:line="240" w:lineRule="auto"/>
      <w:jc w:val="both"/>
      <w:outlineLvl w:val="1"/>
    </w:pPr>
    <w:rPr>
      <w:rFonts w:ascii="Arial Bold" w:cs="Arial" w:eastAsia="STZhongsong" w:hAnsi="Arial Bold"/>
      <w:b w:val="1"/>
      <w:caps w:val="1"/>
      <w:lang w:eastAsia="zh-CN"/>
    </w:rPr>
  </w:style>
  <w:style w:type="character" w:styleId="Heading5Char" w:customStyle="1">
    <w:name w:val="Heading 5 Char"/>
    <w:basedOn w:val="DefaultParagraphFont"/>
    <w:rPr>
      <w:rFonts w:ascii="Arial" w:eastAsia="Times New Roman" w:hAnsi="Arial"/>
      <w:sz w:val="22"/>
      <w:szCs w:val="22"/>
      <w:lang w:eastAsia="en-US"/>
    </w:rPr>
  </w:style>
  <w:style w:type="character" w:styleId="Heading6Char" w:customStyle="1">
    <w:name w:val="Heading 6 Char"/>
    <w:basedOn w:val="DefaultParagraphFont"/>
    <w:rPr>
      <w:rFonts w:ascii="Arial" w:eastAsia="Times New Roman" w:hAnsi="Arial"/>
      <w:sz w:val="22"/>
      <w:szCs w:val="22"/>
      <w:lang w:eastAsia="en-US"/>
    </w:rPr>
  </w:style>
  <w:style w:type="paragraph" w:styleId="GPSL2NumberedBoldHeading" w:customStyle="1">
    <w:name w:val="GPS L2 Numbered Bold Heading"/>
    <w:basedOn w:val="Normal"/>
    <w:qFormat w:val="1"/>
    <w:pPr>
      <w:tabs>
        <w:tab w:val="left" w:pos="1134"/>
      </w:tabs>
      <w:suppressAutoHyphens w:val="0"/>
      <w:spacing w:after="120" w:before="120" w:line="240" w:lineRule="auto"/>
      <w:ind w:left="1494" w:hanging="218"/>
      <w:jc w:val="both"/>
    </w:pPr>
    <w:rPr>
      <w:rFonts w:cs="Arial" w:eastAsia="Times New Roman"/>
      <w:b w:val="1"/>
      <w:lang w:eastAsia="zh-CN"/>
    </w:rPr>
  </w:style>
  <w:style w:type="paragraph" w:styleId="BodyText1" w:customStyle="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val="1"/>
      <w:iCs w:val="1"/>
    </w:rPr>
  </w:style>
  <w:style w:type="paragraph" w:styleId="11table" w:customStyle="1">
    <w:name w:val="1.1 table"/>
    <w:basedOn w:val="Normal"/>
    <w:qFormat w:val="1"/>
    <w:pPr>
      <w:numPr>
        <w:numId w:val="6"/>
      </w:numPr>
      <w:suppressAutoHyphens w:val="0"/>
      <w:spacing w:after="0" w:line="240" w:lineRule="auto"/>
    </w:pPr>
    <w:rPr>
      <w:rFonts w:eastAsia="STZhongsong"/>
      <w:b w:val="1"/>
      <w:lang w:eastAsia="zh-CN"/>
    </w:rPr>
  </w:style>
  <w:style w:type="character" w:styleId="11tableChar" w:customStyle="1">
    <w:name w:val="1.1 table Char"/>
    <w:rPr>
      <w:rFonts w:eastAsia="STZhongsong"/>
      <w:b w:val="1"/>
      <w:sz w:val="22"/>
      <w:szCs w:val="22"/>
      <w:lang w:eastAsia="zh-CN"/>
    </w:rPr>
  </w:style>
  <w:style w:type="paragraph" w:styleId="BalloonText">
    <w:name w:val="Balloon Text"/>
    <w:basedOn w:val="Normal"/>
    <w:pPr>
      <w:spacing w:after="0" w:line="240" w:lineRule="auto"/>
    </w:pPr>
    <w:rPr>
      <w:rFonts w:ascii="Tahoma" w:cs="Tahoma" w:hAnsi="Tahoma"/>
      <w:sz w:val="16"/>
      <w:szCs w:val="16"/>
    </w:rPr>
  </w:style>
  <w:style w:type="character" w:styleId="BalloonTextChar" w:customStyle="1">
    <w:name w:val="Balloon Text Char"/>
    <w:basedOn w:val="DefaultParagraphFont"/>
    <w:rPr>
      <w:rFonts w:ascii="Tahoma" w:cs="Tahoma" w:hAnsi="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styleId="HeaderChar" w:customStyle="1">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styleId="FooterChar" w:customStyle="1">
    <w:name w:val="Footer Char"/>
    <w:basedOn w:val="DefaultParagraphFont"/>
    <w:uiPriority w:val="99"/>
    <w:rPr>
      <w:sz w:val="22"/>
      <w:szCs w:val="22"/>
      <w:lang w:eastAsia="en-US"/>
    </w:rPr>
  </w:style>
  <w:style w:type="paragraph" w:styleId="MarginText" w:customStyle="1">
    <w:name w:val="Margin Text"/>
    <w:basedOn w:val="Normal"/>
    <w:pPr>
      <w:keepNext w:val="1"/>
      <w:suppressAutoHyphens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rPr>
      <w:rFonts w:ascii="Arial" w:eastAsia="STZhongsong" w:hAnsi="Arial"/>
      <w:sz w:val="18"/>
      <w:szCs w:val="18"/>
      <w:lang w:eastAsia="zh-CN"/>
    </w:rPr>
  </w:style>
  <w:style w:type="paragraph" w:styleId="GPSL2numberedclause" w:customStyle="1">
    <w:name w:val="GPS L2 numbered clause"/>
    <w:basedOn w:val="Normal"/>
    <w:qFormat w:val="1"/>
    <w:pPr>
      <w:tabs>
        <w:tab w:val="left" w:pos="1134"/>
      </w:tabs>
      <w:suppressAutoHyphens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qFormat w:val="1"/>
    <w:pPr>
      <w:tabs>
        <w:tab w:val="clear" w:pos="1134"/>
        <w:tab w:val="left" w:pos="1985"/>
        <w:tab w:val="left" w:pos="2127"/>
      </w:tabs>
      <w:ind w:left="1985" w:hanging="851"/>
    </w:pPr>
  </w:style>
  <w:style w:type="paragraph" w:styleId="GPSL4numberedclause" w:customStyle="1">
    <w:name w:val="GPS L4 numbered clause"/>
    <w:basedOn w:val="GPSL3numberedclause"/>
    <w:qFormat w:val="1"/>
    <w:pPr>
      <w:tabs>
        <w:tab w:val="clear" w:pos="2127"/>
      </w:tabs>
      <w:ind w:left="2835" w:hanging="708"/>
    </w:pPr>
    <w:rPr>
      <w:szCs w:val="20"/>
    </w:rPr>
  </w:style>
  <w:style w:type="character" w:styleId="GPSL2numberedclauseChar1" w:customStyle="1">
    <w:name w:val="GPS L2 numbered clause Char1"/>
    <w:rPr>
      <w:rFonts w:cs="Arial" w:eastAsia="Times New Roman"/>
      <w:sz w:val="22"/>
      <w:szCs w:val="22"/>
      <w:lang w:eastAsia="zh-CN"/>
    </w:rPr>
  </w:style>
  <w:style w:type="character" w:styleId="GPSL3numberedclauseChar" w:customStyle="1">
    <w:name w:val="GPS L3 numbered clause Char"/>
    <w:rPr>
      <w:rFonts w:cs="Arial" w:eastAsia="Times New Roman"/>
      <w:sz w:val="22"/>
      <w:szCs w:val="22"/>
      <w:lang w:eastAsia="zh-CN"/>
    </w:rPr>
  </w:style>
  <w:style w:type="paragraph" w:styleId="GPSL5numberedclause" w:customStyle="1">
    <w:name w:val="GPS L5 numbered clause"/>
    <w:basedOn w:val="GPSL4numberedclause"/>
    <w:qFormat w:val="1"/>
    <w:pPr>
      <w:tabs>
        <w:tab w:val="left" w:pos="3402"/>
      </w:tabs>
      <w:ind w:left="3402" w:hanging="567"/>
    </w:pPr>
  </w:style>
  <w:style w:type="paragraph" w:styleId="GPSL6numbered" w:customStyle="1">
    <w:name w:val="GPS L6 numbered"/>
    <w:basedOn w:val="GPSL5numberedclause"/>
    <w:qFormat w:val="1"/>
    <w:pPr>
      <w:tabs>
        <w:tab w:val="clear" w:pos="1985"/>
        <w:tab w:val="clear" w:pos="3402"/>
        <w:tab w:val="num" w:pos="720"/>
        <w:tab w:val="left" w:pos="24049"/>
        <w:tab w:val="left" w:pos="25466"/>
        <w:tab w:val="left" w:pos="26317"/>
      </w:tabs>
      <w:ind w:left="720" w:hanging="720"/>
    </w:pPr>
  </w:style>
  <w:style w:type="paragraph" w:styleId="Style1" w:customStyle="1">
    <w:name w:val="Style1"/>
    <w:basedOn w:val="ListParagraph"/>
    <w:pPr>
      <w:tabs>
        <w:tab w:val="num" w:pos="720"/>
      </w:tabs>
      <w:ind w:hanging="720"/>
    </w:pPr>
    <w:rPr>
      <w:b w:val="1"/>
      <w:sz w:val="20"/>
    </w:rPr>
  </w:style>
  <w:style w:type="character" w:styleId="ListParagraphChar" w:customStyle="1">
    <w:name w:val="List Paragraph Char"/>
    <w:basedOn w:val="DefaultParagraphFont"/>
    <w:rPr>
      <w:sz w:val="22"/>
      <w:szCs w:val="22"/>
      <w:lang w:eastAsia="en-US"/>
    </w:rPr>
  </w:style>
  <w:style w:type="character" w:styleId="Style1Char" w:customStyle="1">
    <w:name w:val="Style1 Char"/>
    <w:basedOn w:val="ListParagraphChar"/>
    <w:rPr>
      <w:b w:val="1"/>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styleId="CommentTextChar" w:customStyle="1">
    <w:name w:val="Comment Text Char"/>
    <w:basedOn w:val="DefaultParagraphFont"/>
    <w:rPr>
      <w:lang w:eastAsia="en-US"/>
    </w:rPr>
  </w:style>
  <w:style w:type="paragraph" w:styleId="CommentSubject">
    <w:name w:val="annotation subject"/>
    <w:basedOn w:val="CommentText"/>
    <w:next w:val="CommentText"/>
    <w:rPr>
      <w:b w:val="1"/>
      <w:bCs w:val="1"/>
    </w:rPr>
  </w:style>
  <w:style w:type="character" w:styleId="CommentSubjectChar" w:customStyle="1">
    <w:name w:val="Comment Subject Char"/>
    <w:basedOn w:val="CommentTextChar"/>
    <w:rPr>
      <w:b w:val="1"/>
      <w:bCs w:val="1"/>
      <w:lang w:eastAsia="en-US"/>
    </w:rPr>
  </w:style>
  <w:style w:type="paragraph" w:styleId="Revision">
    <w:name w:val="Revision"/>
    <w:rPr>
      <w:lang w:eastAsia="en-US"/>
    </w:rPr>
  </w:style>
  <w:style w:type="paragraph" w:styleId="GPsDefinition" w:customStyle="1">
    <w:name w:val="GPs Definition"/>
    <w:basedOn w:val="Normal"/>
    <w:pPr>
      <w:tabs>
        <w:tab w:val="left" w:pos="-179"/>
      </w:tabs>
      <w:suppressAutoHyphens w:val="0"/>
      <w:overflowPunct w:val="0"/>
      <w:autoSpaceDE w:val="0"/>
      <w:spacing w:after="120" w:line="240" w:lineRule="auto"/>
      <w:jc w:val="both"/>
    </w:pPr>
    <w:rPr>
      <w:rFonts w:ascii="Arial" w:cs="Arial" w:eastAsia="Times New Roman" w:hAnsi="Arial"/>
    </w:rPr>
  </w:style>
  <w:style w:type="paragraph" w:styleId="GPSDefinitionL2" w:customStyle="1">
    <w:name w:val="GPS Definition L2"/>
    <w:basedOn w:val="GPsDefinition"/>
    <w:pPr>
      <w:tabs>
        <w:tab w:val="clear" w:pos="-179"/>
        <w:tab w:val="left" w:pos="-576"/>
      </w:tabs>
      <w:ind w:hanging="545"/>
    </w:pPr>
  </w:style>
  <w:style w:type="character" w:styleId="GPSDefinitionL2Char" w:customStyle="1">
    <w:name w:val="GPS Definition L2 Char"/>
    <w:rPr>
      <w:rFonts w:ascii="Arial" w:cs="Arial" w:eastAsia="Times New Roman" w:hAnsi="Arial"/>
      <w:sz w:val="22"/>
      <w:szCs w:val="22"/>
      <w:lang w:eastAsia="en-US"/>
    </w:rPr>
  </w:style>
  <w:style w:type="paragraph" w:styleId="GPSDefinitionL3" w:customStyle="1">
    <w:name w:val="GPS Definition L3"/>
    <w:basedOn w:val="GPSDefinitionL2"/>
  </w:style>
  <w:style w:type="paragraph" w:styleId="GPSDefinitionL4" w:customStyle="1">
    <w:name w:val="GPS Definition L4"/>
    <w:basedOn w:val="GPSDefinitionL3"/>
    <w:pPr>
      <w:tabs>
        <w:tab w:val="clear" w:pos="-576"/>
        <w:tab w:val="left" w:pos="-2316"/>
        <w:tab w:val="left" w:pos="-2100"/>
        <w:tab w:val="num" w:pos="720"/>
      </w:tabs>
      <w:ind w:left="720" w:hanging="720"/>
    </w:pPr>
  </w:style>
  <w:style w:type="character" w:styleId="GPSDefinitionL3Char" w:customStyle="1">
    <w:name w:val="GPS Definition L3 Char"/>
    <w:rPr>
      <w:rFonts w:ascii="Arial" w:cs="Arial" w:eastAsia="Times New Roman" w:hAnsi="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cs="Arial" w:eastAsia="Times New Roman" w:hAnsi="Arial"/>
      <w:sz w:val="20"/>
      <w:szCs w:val="20"/>
    </w:rPr>
  </w:style>
  <w:style w:type="character" w:styleId="FootnoteTextChar" w:customStyle="1">
    <w:name w:val="Footnote Text Char"/>
    <w:basedOn w:val="DefaultParagraphFont"/>
    <w:rPr>
      <w:rFonts w:ascii="Arial" w:cs="Arial" w:eastAsia="Times New Roman" w:hAnsi="Arial"/>
      <w:lang w:eastAsia="en-US"/>
    </w:rPr>
  </w:style>
  <w:style w:type="paragraph" w:styleId="BodyText">
    <w:name w:val="Body Text"/>
    <w:basedOn w:val="Normal"/>
    <w:pPr>
      <w:spacing w:after="120"/>
    </w:pPr>
  </w:style>
  <w:style w:type="character" w:styleId="BodyTextChar" w:customStyle="1">
    <w:name w:val="Body Text Char"/>
    <w:basedOn w:val="DefaultParagraphFont"/>
    <w:rPr>
      <w:sz w:val="22"/>
      <w:szCs w:val="22"/>
      <w:lang w:eastAsia="en-US"/>
    </w:rPr>
  </w:style>
  <w:style w:type="paragraph" w:styleId="Level2Heading" w:customStyle="1">
    <w:name w:val="Level 2 Heading"/>
    <w:basedOn w:val="BodyText"/>
    <w:next w:val="BodyText2"/>
    <w:pPr>
      <w:keepNext w:val="1"/>
      <w:tabs>
        <w:tab w:val="left" w:pos="360"/>
      </w:tabs>
      <w:suppressAutoHyphens w:val="0"/>
      <w:spacing w:after="200" w:before="360" w:line="360" w:lineRule="auto"/>
      <w:outlineLvl w:val="1"/>
    </w:pPr>
    <w:rPr>
      <w:rFonts w:ascii="Arial" w:eastAsia="Times New Roman" w:hAnsi="Arial"/>
      <w:b w:val="1"/>
      <w:sz w:val="20"/>
      <w:szCs w:val="20"/>
      <w:lang w:eastAsia="en-GB"/>
    </w:rPr>
  </w:style>
  <w:style w:type="paragraph" w:styleId="Level3Number" w:customStyle="1">
    <w:name w:val="Level 3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4Number" w:customStyle="1">
    <w:name w:val="Level 4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5Number" w:customStyle="1">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styleId="Level6Number" w:customStyle="1">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styleId="Level7Number" w:customStyle="1">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styleId="Level8Number" w:customStyle="1">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styleId="BodyText2Char" w:customStyle="1">
    <w:name w:val="Body Text 2 Char"/>
    <w:basedOn w:val="DefaultParagraphFont"/>
    <w:rPr>
      <w:sz w:val="22"/>
      <w:szCs w:val="22"/>
      <w:lang w:eastAsia="en-US"/>
    </w:rPr>
  </w:style>
  <w:style w:type="character" w:styleId="GPSL2NumberedBoldHeadingChar" w:customStyle="1">
    <w:name w:val="GPS L2 Numbered Bold Heading Char"/>
    <w:rPr>
      <w:rFonts w:cs="Arial" w:eastAsia="Times New Roman"/>
      <w:b w:val="1"/>
      <w:sz w:val="22"/>
      <w:szCs w:val="22"/>
      <w:lang w:eastAsia="zh-CN"/>
    </w:rPr>
  </w:style>
  <w:style w:type="paragraph" w:styleId="GPSL2Indent" w:customStyle="1">
    <w:name w:val="GPS L2 Indent"/>
    <w:basedOn w:val="Normal"/>
    <w:pPr>
      <w:tabs>
        <w:tab w:val="left" w:pos="3402"/>
      </w:tabs>
      <w:suppressAutoHyphens w:val="0"/>
      <w:overflowPunct w:val="0"/>
      <w:autoSpaceDE w:val="0"/>
      <w:spacing w:after="220" w:line="240" w:lineRule="auto"/>
      <w:ind w:left="1134"/>
      <w:jc w:val="both"/>
    </w:pPr>
    <w:rPr>
      <w:rFonts w:cs="Arial" w:eastAsia="Times New Roman"/>
      <w:szCs w:val="24"/>
    </w:rPr>
  </w:style>
  <w:style w:type="paragraph" w:styleId="GPSL2Numbered" w:customStyle="1">
    <w:name w:val="GPS L2 Numbered"/>
    <w:basedOn w:val="GPSL2NumberedBoldHeading"/>
    <w:qFormat w:val="1"/>
    <w:pPr>
      <w:tabs>
        <w:tab w:val="left" w:pos="709"/>
      </w:tabs>
      <w:ind w:hanging="360"/>
    </w:pPr>
    <w:rPr>
      <w:b w:val="0"/>
    </w:rPr>
  </w:style>
  <w:style w:type="character" w:styleId="GPSL2NumberedChar" w:customStyle="1">
    <w:name w:val="GPS L2 Numbered Char"/>
    <w:rPr>
      <w:rFonts w:cs="Arial" w:eastAsia="Times New Roman"/>
      <w:sz w:val="22"/>
      <w:szCs w:val="22"/>
      <w:lang w:eastAsia="zh-CN"/>
    </w:rPr>
  </w:style>
  <w:style w:type="character" w:styleId="GPSL2IndentChar" w:customStyle="1">
    <w:name w:val="GPS L2 Indent Char"/>
    <w:rPr>
      <w:rFonts w:cs="Arial" w:eastAsia="Times New Roman"/>
      <w:sz w:val="22"/>
      <w:szCs w:val="24"/>
      <w:lang w:eastAsia="en-US"/>
    </w:rPr>
  </w:style>
  <w:style w:type="character" w:styleId="GPSL4numberedclauseChar" w:customStyle="1">
    <w:name w:val="GPS L4 numbered clause Char"/>
    <w:rPr>
      <w:rFonts w:cs="Arial" w:eastAsia="Times New Roman"/>
      <w:sz w:val="22"/>
      <w:lang w:eastAsia="zh-CN"/>
    </w:rPr>
  </w:style>
  <w:style w:type="paragraph" w:styleId="GPSL3Indent" w:customStyle="1">
    <w:name w:val="GPS L3 Indent"/>
    <w:basedOn w:val="Normal"/>
    <w:pPr>
      <w:tabs>
        <w:tab w:val="left" w:pos="2127"/>
      </w:tabs>
      <w:suppressAutoHyphens w:val="0"/>
      <w:spacing w:after="120" w:before="120" w:line="240" w:lineRule="auto"/>
      <w:ind w:left="2127"/>
      <w:jc w:val="both"/>
    </w:pPr>
    <w:rPr>
      <w:rFonts w:ascii="Arial" w:cs="Arial" w:eastAsia="Times New Roman" w:hAnsi="Arial"/>
      <w:lang w:eastAsia="zh-CN" w:val="en-US"/>
    </w:rPr>
  </w:style>
  <w:style w:type="character" w:styleId="GPSL3IndentChar" w:customStyle="1">
    <w:name w:val="GPS L3 Indent Char"/>
    <w:rPr>
      <w:rFonts w:ascii="Arial" w:cs="Arial" w:eastAsia="Times New Roman" w:hAnsi="Arial"/>
      <w:sz w:val="22"/>
      <w:szCs w:val="22"/>
      <w:lang w:eastAsia="zh-CN" w:val="en-US"/>
    </w:rPr>
  </w:style>
  <w:style w:type="character" w:styleId="GPSL5numberedclauseChar" w:customStyle="1">
    <w:name w:val="GPS L5 numbered clause Char"/>
    <w:rPr>
      <w:rFonts w:cs="Arial" w:eastAsia="Times New Roman"/>
      <w:sz w:val="22"/>
      <w:lang w:eastAsia="zh-CN"/>
    </w:rPr>
  </w:style>
  <w:style w:type="paragraph" w:styleId="Body3" w:customStyle="1">
    <w:name w:val="Body3"/>
    <w:basedOn w:val="Normal"/>
    <w:pPr>
      <w:suppressAutoHyphens w:val="0"/>
      <w:spacing w:after="220" w:line="240" w:lineRule="auto"/>
      <w:ind w:left="1412"/>
      <w:jc w:val="both"/>
    </w:pPr>
    <w:rPr>
      <w:rFonts w:ascii="Trebuchet MS" w:eastAsia="Times New Roman" w:hAnsi="Trebuchet MS"/>
      <w:sz w:val="20"/>
      <w:szCs w:val="20"/>
    </w:rPr>
  </w:style>
  <w:style w:type="paragraph" w:styleId="GPSDefinitionTerm" w:customStyle="1">
    <w:name w:val="GPS Definition Term"/>
    <w:basedOn w:val="Normal"/>
    <w:pPr>
      <w:suppressAutoHyphens w:val="0"/>
      <w:overflowPunct w:val="0"/>
      <w:autoSpaceDE w:val="0"/>
      <w:spacing w:after="120" w:line="240" w:lineRule="auto"/>
      <w:ind w:left="-108"/>
    </w:pPr>
    <w:rPr>
      <w:rFonts w:cs="Arial" w:eastAsia="Times New Roman"/>
      <w:b w:val="1"/>
    </w:rPr>
  </w:style>
  <w:style w:type="character" w:styleId="Heading7Char" w:customStyle="1">
    <w:name w:val="Heading 7 Char"/>
    <w:basedOn w:val="DefaultParagraphFont"/>
    <w:rPr>
      <w:rFonts w:ascii="Arial" w:eastAsia="Times New Roman" w:hAnsi="Arial"/>
      <w:sz w:val="22"/>
      <w:szCs w:val="22"/>
      <w:lang w:eastAsia="en-US"/>
    </w:rPr>
  </w:style>
  <w:style w:type="character" w:styleId="Heading8Char" w:customStyle="1">
    <w:name w:val="Heading 8 Char"/>
    <w:basedOn w:val="DefaultParagraphFont"/>
    <w:rPr>
      <w:rFonts w:ascii="Arial" w:eastAsia="Times New Roman" w:hAnsi="Arial"/>
      <w:sz w:val="22"/>
      <w:szCs w:val="22"/>
      <w:lang w:eastAsia="en-US"/>
    </w:rPr>
  </w:style>
  <w:style w:type="paragraph" w:styleId="GPSL4boldheading" w:customStyle="1">
    <w:name w:val="GPS L4 bold heading"/>
    <w:basedOn w:val="GPSL3numberedclause"/>
    <w:pPr>
      <w:numPr>
        <w:numId w:val="5"/>
      </w:numPr>
    </w:pPr>
    <w:rPr>
      <w:b w:val="1"/>
    </w:rPr>
  </w:style>
  <w:style w:type="character" w:styleId="GPSL4boldheadingChar" w:customStyle="1">
    <w:name w:val="GPS L4 bold heading Char"/>
    <w:rPr>
      <w:rFonts w:cs="Arial" w:eastAsia="Times New Roman"/>
      <w:b w:val="1"/>
      <w:sz w:val="22"/>
      <w:szCs w:val="22"/>
      <w:lang w:eastAsia="zh-CN"/>
    </w:rPr>
  </w:style>
  <w:style w:type="numbering" w:styleId="WWOutlineListStyle7" w:customStyle="1">
    <w:name w:val="WW_OutlineListStyle_7"/>
    <w:basedOn w:val="NoList"/>
  </w:style>
  <w:style w:type="numbering" w:styleId="WWOutlineListStyle6" w:customStyle="1">
    <w:name w:val="WW_OutlineListStyle_6"/>
    <w:basedOn w:val="NoList"/>
  </w:style>
  <w:style w:type="numbering" w:styleId="WWOutlineListStyle5" w:customStyle="1">
    <w:name w:val="WW_OutlineListStyle_5"/>
    <w:basedOn w:val="NoList"/>
  </w:style>
  <w:style w:type="numbering" w:styleId="WWOutlineListStyle4" w:customStyle="1">
    <w:name w:val="WW_OutlineListStyle_4"/>
    <w:basedOn w:val="NoList"/>
  </w:style>
  <w:style w:type="numbering" w:styleId="WWOutlineListStyle3" w:customStyle="1">
    <w:name w:val="WW_OutlineListStyle_3"/>
    <w:basedOn w:val="NoList"/>
  </w:style>
  <w:style w:type="numbering" w:styleId="WWOutlineListStyle2" w:customStyle="1">
    <w:name w:val="WW_OutlineListStyle_2"/>
    <w:basedOn w:val="NoList"/>
  </w:style>
  <w:style w:type="numbering" w:styleId="WWOutlineListStyle1" w:customStyle="1">
    <w:name w:val="WW_OutlineListStyle_1"/>
    <w:basedOn w:val="NoList"/>
  </w:style>
  <w:style w:type="numbering" w:styleId="WWOutlineListStyle" w:customStyle="1">
    <w:name w:val="WW_OutlineListStyle"/>
    <w:basedOn w:val="NoList"/>
  </w:style>
  <w:style w:type="numbering" w:styleId="LFO7" w:customStyle="1">
    <w:name w:val="LFO7"/>
    <w:basedOn w:val="NoList"/>
  </w:style>
  <w:style w:type="numbering" w:styleId="LFO9" w:customStyle="1">
    <w:name w:val="LFO9"/>
    <w:basedOn w:val="NoList"/>
  </w:style>
  <w:style w:type="numbering" w:styleId="LFO10" w:customStyle="1">
    <w:name w:val="LFO10"/>
    <w:basedOn w:val="NoList"/>
  </w:style>
  <w:style w:type="numbering" w:styleId="LFO12" w:customStyle="1">
    <w:name w:val="LFO12"/>
    <w:basedOn w:val="NoList"/>
  </w:style>
  <w:style w:type="numbering" w:styleId="LFO13" w:customStyle="1">
    <w:name w:val="LFO13"/>
    <w:basedOn w:val="NoList"/>
  </w:style>
  <w:style w:type="table" w:styleId="LightShading-Accent5">
    <w:name w:val="Light Shading Accent 5"/>
    <w:basedOn w:val="TableNormal"/>
    <w:uiPriority w:val="60"/>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TableGrid">
    <w:name w:val="Table Grid"/>
    <w:basedOn w:val="TableNormal"/>
    <w:uiPriority w:val="5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ListTable3-Accent51" w:customStyle="1">
    <w:name w:val="List Table 3 - Accent 51"/>
    <w:basedOn w:val="TableNormal"/>
    <w:uiPriority w:val="48"/>
    <w:tblPr>
      <w:tblStyleRowBandSize w:val="1"/>
      <w:tblStyleColBandSize w:val="1"/>
      <w:tblBorders>
        <w:top w:color="4bacc6" w:space="0" w:sz="4" w:themeColor="accent5" w:val="single"/>
        <w:left w:color="4bacc6" w:space="0" w:sz="4" w:themeColor="accent5" w:val="single"/>
        <w:bottom w:color="4bacc6" w:space="0" w:sz="4" w:themeColor="accent5" w:val="single"/>
        <w:right w:color="4bacc6" w:space="0" w:sz="4" w:themeColor="accent5" w:val="single"/>
      </w:tblBorders>
    </w:tblPr>
    <w:tblStylePr w:type="firstRow">
      <w:rPr>
        <w:b w:val="1"/>
        <w:bCs w:val="1"/>
        <w:color w:val="ffffff" w:themeColor="background1"/>
      </w:rPr>
      <w:tblPr/>
      <w:tcPr>
        <w:shd w:color="auto" w:fill="4bacc6" w:themeFill="accent5" w:val="clear"/>
      </w:tcPr>
    </w:tblStylePr>
    <w:tblStylePr w:type="lastRow">
      <w:rPr>
        <w:b w:val="1"/>
        <w:bCs w:val="1"/>
      </w:rPr>
      <w:tblPr/>
      <w:tcPr>
        <w:tcBorders>
          <w:top w:color="4bacc6"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bacc6" w:space="0" w:sz="4" w:themeColor="accent5" w:val="single"/>
          <w:right w:color="4bacc6" w:space="0" w:sz="4" w:themeColor="accent5" w:val="single"/>
        </w:tcBorders>
      </w:tcPr>
    </w:tblStylePr>
    <w:tblStylePr w:type="band1Horz">
      <w:tblPr/>
      <w:tcPr>
        <w:tcBorders>
          <w:top w:color="4bacc6" w:space="0" w:sz="4" w:themeColor="accent5" w:val="single"/>
          <w:bottom w:color="4bacc6"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bacc6" w:space="0" w:sz="4" w:themeColor="accent5" w:val="double"/>
          <w:left w:space="0" w:sz="0" w:val="nil"/>
        </w:tcBorders>
      </w:tcPr>
    </w:tblStylePr>
    <w:tblStylePr w:type="swCell">
      <w:tblPr/>
      <w:tcPr>
        <w:tcBorders>
          <w:top w:color="4bacc6" w:space="0" w:sz="4" w:themeColor="accent5" w:val="double"/>
          <w:right w:space="0" w:sz="0" w:val="nil"/>
        </w:tcBorders>
      </w:tcPr>
    </w:tblStylePr>
  </w:style>
  <w:style w:type="table" w:styleId="GridTable2-Accent51" w:customStyle="1">
    <w:name w:val="Grid Table 2 - Accent 51"/>
    <w:basedOn w:val="TableNormal"/>
    <w:uiPriority w:val="47"/>
    <w:tblPr>
      <w:tblStyleRowBandSize w:val="1"/>
      <w:tblStyleColBandSize w:val="1"/>
      <w:tblBorders>
        <w:top w:color="92cddc" w:space="0" w:sz="2" w:themeColor="accent5" w:themeTint="000099" w:val="single"/>
        <w:bottom w:color="92cddc" w:space="0" w:sz="2" w:themeColor="accent5" w:themeTint="000099" w:val="single"/>
        <w:insideH w:color="92cddc" w:space="0" w:sz="2" w:themeColor="accent5" w:themeTint="000099" w:val="single"/>
        <w:insideV w:color="92cddc" w:space="0" w:sz="2" w:themeColor="accent5" w:themeTint="000099" w:val="single"/>
      </w:tblBorders>
    </w:tblPr>
    <w:tblStylePr w:type="firstRow">
      <w:rPr>
        <w:b w:val="1"/>
        <w:bCs w:val="1"/>
      </w:rPr>
      <w:tblPr/>
      <w:tcPr>
        <w:tcBorders>
          <w:top w:space="0" w:sz="0" w:val="nil"/>
          <w:bottom w:color="92cddc"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2cddc"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2-Accent11" w:customStyle="1">
    <w:name w:val="Grid Table 2 - Accent 11"/>
    <w:basedOn w:val="TableNormal"/>
    <w:uiPriority w:val="47"/>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4-Accent11" w:customStyle="1">
    <w:name w:val="Grid Table 4 - Accent 11"/>
    <w:basedOn w:val="TableNormal"/>
    <w:uiPriority w:val="49"/>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insideV w:space="0" w:sz="0" w:val="nil"/>
        </w:tcBorders>
        <w:shd w:color="auto" w:fill="4f81bd" w:themeFill="accent1" w:val="clear"/>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6Colorful-Accent11" w:customStyle="1">
    <w:name w:val="Grid Table 6 Colorful - Accent 11"/>
    <w:basedOn w:val="TableNormal"/>
    <w:uiPriority w:val="51"/>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paragraph" w:styleId="EndnoteText">
    <w:name w:val="endnote text"/>
    <w:basedOn w:val="Normal"/>
    <w:link w:val="EndnoteTextChar"/>
    <w:uiPriority w:val="99"/>
    <w:semiHidden w:val="1"/>
    <w:unhideWhenUsed w:val="1"/>
    <w:pPr>
      <w:spacing w:after="0" w:line="240" w:lineRule="auto"/>
    </w:pPr>
    <w:rPr>
      <w:sz w:val="20"/>
      <w:szCs w:val="20"/>
    </w:rPr>
  </w:style>
  <w:style w:type="character" w:styleId="EndnoteTextChar" w:customStyle="1">
    <w:name w:val="Endnote Text Char"/>
    <w:basedOn w:val="DefaultParagraphFont"/>
    <w:link w:val="EndnoteText"/>
    <w:uiPriority w:val="99"/>
    <w:semiHidden w:val="1"/>
    <w:rPr>
      <w:lang w:eastAsia="en-US"/>
    </w:rPr>
  </w:style>
  <w:style w:type="character" w:styleId="EndnoteReference">
    <w:name w:val="endnote reference"/>
    <w:basedOn w:val="DefaultParagraphFont"/>
    <w:uiPriority w:val="99"/>
    <w:semiHidden w:val="1"/>
    <w:unhideWhenUsed w:val="1"/>
    <w:rPr>
      <w:vertAlign w:val="superscript"/>
    </w:rPr>
  </w:style>
  <w:style w:type="table" w:styleId="LightList">
    <w:name w:val="Light List"/>
    <w:basedOn w:val="TableNormal"/>
    <w:uiPriority w:val="61"/>
    <w:rsid w:val="00AB5036"/>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0" w:customStyle="1">
    <w:basedOn w:val="TableNormal"/>
    <w:rPr>
      <w:color w:val="366091"/>
    </w:rPr>
    <w:tblPr>
      <w:tblStyleRowBandSize w:val="1"/>
      <w:tblStyleColBandSize w:val="1"/>
    </w:tblPr>
  </w:style>
  <w:style w:type="table" w:styleId="a1"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2"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3" w:customStyle="1">
    <w:basedOn w:val="TableNormal"/>
    <w:rPr>
      <w:color w:val="366091"/>
    </w:rPr>
    <w:tblPr>
      <w:tblStyleRowBandSize w:val="1"/>
      <w:tblStyleColBandSize w:val="1"/>
    </w:tblPr>
  </w:style>
  <w:style w:type="table" w:styleId="a4"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5"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6" w:customStyle="1">
    <w:basedOn w:val="TableNormal"/>
    <w:rPr>
      <w:color w:val="366091"/>
    </w:rPr>
    <w:tblPr>
      <w:tblStyleRowBandSize w:val="1"/>
      <w:tblStyleColBandSize w:val="1"/>
    </w:tblPr>
  </w:style>
  <w:style w:type="table" w:styleId="a7"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8" w:customStyle="1">
    <w:basedOn w:val="TableNormal"/>
    <w:tblPr>
      <w:tblStyleRowBandSize w:val="1"/>
      <w:tblStyleColBandSize w:val="1"/>
      <w:tblCellMar>
        <w:left w:w="115.0" w:type="dxa"/>
        <w:right w:w="115.0" w:type="dxa"/>
      </w:tblCellMar>
    </w:tblPr>
  </w:style>
  <w:style w:type="table" w:styleId="a9" w:customStyle="1">
    <w:basedOn w:val="TableNormal"/>
    <w:tblPr>
      <w:tblStyleRowBandSize w:val="1"/>
      <w:tblStyleColBandSize w:val="1"/>
      <w:tblCellMar>
        <w:left w:w="115.0" w:type="dxa"/>
        <w:right w:w="115.0" w:type="dxa"/>
      </w:tblCellMar>
    </w:tblPr>
  </w:style>
  <w:style w:type="table" w:styleId="aa" w:customStyle="1">
    <w:basedOn w:val="TableNormal"/>
    <w:tblPr>
      <w:tblStyleRowBandSize w:val="1"/>
      <w:tblStyleColBandSize w:val="1"/>
      <w:tblCellMar>
        <w:left w:w="115.0" w:type="dxa"/>
        <w:right w:w="115.0" w:type="dxa"/>
      </w:tblCellMar>
    </w:tblPr>
  </w:style>
  <w:style w:type="table" w:styleId="ab" w:customStyle="1">
    <w:basedOn w:val="TableNormal"/>
    <w:rPr>
      <w:color w:val="366091"/>
    </w:rPr>
    <w:tblPr>
      <w:tblStyleRowBandSize w:val="1"/>
      <w:tblStyleColBandSize w:val="1"/>
      <w:tblCellMar>
        <w:left w:w="115.0" w:type="dxa"/>
        <w:right w:w="115.0" w:type="dxa"/>
      </w:tblCellMar>
    </w:tblPr>
  </w:style>
  <w:style w:type="table" w:styleId="ac" w:customStyle="1">
    <w:basedOn w:val="TableNormal"/>
    <w:rPr>
      <w:color w:val="366091"/>
    </w:rPr>
    <w:tblPr>
      <w:tblStyleRowBandSize w:val="1"/>
      <w:tblStyleColBandSize w:val="1"/>
      <w:tblCellMar>
        <w:left w:w="115.0" w:type="dxa"/>
        <w:right w:w="115.0" w:type="dxa"/>
      </w:tblCellMar>
    </w:tblPr>
  </w:style>
  <w:style w:type="table" w:styleId="ad" w:customStyle="1">
    <w:basedOn w:val="TableNormal"/>
    <w:rPr>
      <w:color w:val="366091"/>
    </w:rPr>
    <w:tblPr>
      <w:tblStyleRowBandSize w:val="1"/>
      <w:tblStyleColBandSize w:val="1"/>
      <w:tblCellMar>
        <w:left w:w="115.0" w:type="dxa"/>
        <w:right w:w="115.0" w:type="dxa"/>
      </w:tblCellMar>
    </w:tblPr>
  </w:style>
  <w:style w:type="table" w:styleId="ae" w:customStyle="1">
    <w:basedOn w:val="TableNormal"/>
    <w:rPr>
      <w:color w:val="366091"/>
    </w:rPr>
    <w:tblPr>
      <w:tblStyleRowBandSize w:val="1"/>
      <w:tblStyleColBandSize w:val="1"/>
      <w:tblCellMar>
        <w:left w:w="115.0" w:type="dxa"/>
        <w:right w:w="115.0" w:type="dxa"/>
      </w:tblCellMar>
    </w:tblPr>
  </w:style>
  <w:style w:type="table" w:styleId="af" w:customStyle="1">
    <w:basedOn w:val="TableNormal"/>
    <w:rPr>
      <w:color w:val="366091"/>
    </w:rPr>
    <w:tblPr>
      <w:tblStyleRowBandSize w:val="1"/>
      <w:tblStyleColBandSize w:val="1"/>
      <w:tblCellMar>
        <w:left w:w="115.0" w:type="dxa"/>
        <w:right w:w="115.0" w:type="dxa"/>
      </w:tblCellMar>
    </w:tblPr>
  </w:style>
  <w:style w:type="table" w:styleId="af0" w:customStyle="1">
    <w:basedOn w:val="TableNormal"/>
    <w:rPr>
      <w:color w:val="366091"/>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15.0" w:type="dxa"/>
        <w:bottom w:w="0.0" w:type="dxa"/>
        <w:right w:w="115.0" w:type="dxa"/>
      </w:tblCellMar>
    </w:tblPr>
  </w:style>
  <w:style w:type="table" w:styleId="Table2">
    <w:basedOn w:val="TableNormal"/>
    <w:rPr>
      <w:color w:val="366091"/>
    </w:rPr>
    <w:tblPr>
      <w:tblStyleRowBandSize w:val="1"/>
      <w:tblStyleColBandSize w:val="1"/>
      <w:tblCellMar>
        <w:top w:w="0.0" w:type="dxa"/>
        <w:left w:w="115.0" w:type="dxa"/>
        <w:bottom w:w="0.0" w:type="dxa"/>
        <w:right w:w="115.0" w:type="dxa"/>
      </w:tblCellMar>
    </w:tblPr>
  </w:style>
  <w:style w:type="table" w:styleId="Table3">
    <w:basedOn w:val="TableNormal"/>
    <w:rPr>
      <w:color w:val="366091"/>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footer" Target="footer1.xml"/><Relationship Id="rId12" Type="http://schemas.openxmlformats.org/officeDocument/2006/relationships/image" Target="media/image1.png"/><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ptrum3qp4bXMTIhrv9Gnc4CJSw==">CgMxLjAyCWguMWZvYjl0ZTIJaC4zMGowemxsMghoLmdqZGd4czIJaC4zem55c2g3OAByITF2WEpUU010MUY4S0RrdXFRVkV5TWJzRHpmUjhvMnNhQg==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2023-05-12T13:24:00Z</dcterms:created>
  <dc:creator>Andrew Glanvill</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